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0D1B23" w14:textId="1C7319B1" w:rsidR="00730B4D" w:rsidRDefault="0072370F" w:rsidP="00730B4D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72370F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730B4D" w:rsidRPr="00A26F9E">
        <w:rPr>
          <w:rFonts w:ascii="Times New Roman" w:hAnsi="Times New Roman" w:cs="Times New Roman"/>
          <w:b/>
          <w:sz w:val="24"/>
          <w:szCs w:val="24"/>
        </w:rPr>
        <w:t>upplementary materials</w:t>
      </w:r>
    </w:p>
    <w:p w14:paraId="06AD58F8" w14:textId="4655A9D5" w:rsidR="002966CE" w:rsidRPr="00A26F9E" w:rsidRDefault="00231AA6" w:rsidP="00730B4D">
      <w:pPr>
        <w:spacing w:line="48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5F8961" wp14:editId="203ED767">
            <wp:simplePos x="0" y="0"/>
            <wp:positionH relativeFrom="column">
              <wp:posOffset>34290</wp:posOffset>
            </wp:positionH>
            <wp:positionV relativeFrom="paragraph">
              <wp:posOffset>123825</wp:posOffset>
            </wp:positionV>
            <wp:extent cx="4686300" cy="458025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6B3C3" w14:textId="25D0623E" w:rsidR="00A26F9E" w:rsidRDefault="00A26F9E" w:rsidP="00A26F9E">
      <w:pPr>
        <w:spacing w:line="480" w:lineRule="auto"/>
        <w:contextualSpacing/>
        <w:jc w:val="center"/>
        <w:rPr>
          <w:rFonts w:ascii="Times New Roman" w:hAnsi="Times New Roman" w:cs="Times New Roman"/>
          <w:b/>
        </w:rPr>
      </w:pPr>
    </w:p>
    <w:p w14:paraId="0C6E127D" w14:textId="77777777" w:rsidR="00231AA6" w:rsidRDefault="00231AA6" w:rsidP="00730B4D">
      <w:pPr>
        <w:spacing w:line="480" w:lineRule="auto"/>
        <w:contextualSpacing/>
        <w:rPr>
          <w:rFonts w:ascii="Times New Roman" w:hAnsi="Times New Roman" w:cs="Times New Roman"/>
          <w:b/>
        </w:rPr>
      </w:pPr>
    </w:p>
    <w:p w14:paraId="72075365" w14:textId="77777777" w:rsidR="00231AA6" w:rsidRDefault="00231AA6" w:rsidP="00730B4D">
      <w:pPr>
        <w:spacing w:line="480" w:lineRule="auto"/>
        <w:contextualSpacing/>
        <w:rPr>
          <w:rFonts w:ascii="Times New Roman" w:hAnsi="Times New Roman" w:cs="Times New Roman"/>
          <w:b/>
        </w:rPr>
      </w:pPr>
    </w:p>
    <w:p w14:paraId="611D0FF6" w14:textId="77777777" w:rsidR="00231AA6" w:rsidRDefault="00231AA6" w:rsidP="00730B4D">
      <w:pPr>
        <w:spacing w:line="480" w:lineRule="auto"/>
        <w:contextualSpacing/>
        <w:rPr>
          <w:rFonts w:ascii="Times New Roman" w:hAnsi="Times New Roman" w:cs="Times New Roman"/>
          <w:b/>
        </w:rPr>
      </w:pPr>
    </w:p>
    <w:p w14:paraId="654566E0" w14:textId="77777777" w:rsidR="00231AA6" w:rsidRDefault="00231AA6" w:rsidP="00730B4D">
      <w:pPr>
        <w:spacing w:line="480" w:lineRule="auto"/>
        <w:contextualSpacing/>
        <w:rPr>
          <w:rFonts w:ascii="Times New Roman" w:hAnsi="Times New Roman" w:cs="Times New Roman"/>
          <w:b/>
        </w:rPr>
      </w:pPr>
    </w:p>
    <w:p w14:paraId="78C4FED8" w14:textId="77777777" w:rsidR="00231AA6" w:rsidRDefault="00231AA6" w:rsidP="00730B4D">
      <w:pPr>
        <w:spacing w:line="480" w:lineRule="auto"/>
        <w:contextualSpacing/>
        <w:rPr>
          <w:rFonts w:ascii="Times New Roman" w:hAnsi="Times New Roman" w:cs="Times New Roman"/>
          <w:b/>
        </w:rPr>
      </w:pPr>
    </w:p>
    <w:p w14:paraId="6A7B46D6" w14:textId="77777777" w:rsidR="00231AA6" w:rsidRDefault="00231AA6" w:rsidP="00730B4D">
      <w:pPr>
        <w:spacing w:line="480" w:lineRule="auto"/>
        <w:contextualSpacing/>
        <w:rPr>
          <w:rFonts w:ascii="Times New Roman" w:hAnsi="Times New Roman" w:cs="Times New Roman"/>
          <w:b/>
        </w:rPr>
      </w:pPr>
    </w:p>
    <w:p w14:paraId="26B61583" w14:textId="77777777" w:rsidR="00231AA6" w:rsidRDefault="00231AA6" w:rsidP="00730B4D">
      <w:pPr>
        <w:spacing w:line="480" w:lineRule="auto"/>
        <w:contextualSpacing/>
        <w:rPr>
          <w:rFonts w:ascii="Times New Roman" w:hAnsi="Times New Roman" w:cs="Times New Roman"/>
          <w:b/>
        </w:rPr>
      </w:pPr>
    </w:p>
    <w:p w14:paraId="3E0711A4" w14:textId="77777777" w:rsidR="00231AA6" w:rsidRDefault="00231AA6" w:rsidP="00730B4D">
      <w:pPr>
        <w:spacing w:line="480" w:lineRule="auto"/>
        <w:contextualSpacing/>
        <w:rPr>
          <w:rFonts w:ascii="Times New Roman" w:hAnsi="Times New Roman" w:cs="Times New Roman"/>
          <w:b/>
        </w:rPr>
      </w:pPr>
    </w:p>
    <w:p w14:paraId="5AA82009" w14:textId="77777777" w:rsidR="00231AA6" w:rsidRDefault="00231AA6" w:rsidP="00730B4D">
      <w:pPr>
        <w:spacing w:line="480" w:lineRule="auto"/>
        <w:contextualSpacing/>
        <w:rPr>
          <w:rFonts w:ascii="Times New Roman" w:hAnsi="Times New Roman" w:cs="Times New Roman"/>
          <w:b/>
        </w:rPr>
      </w:pPr>
    </w:p>
    <w:p w14:paraId="49C335F8" w14:textId="77777777" w:rsidR="00231AA6" w:rsidRDefault="00231AA6" w:rsidP="00730B4D">
      <w:pPr>
        <w:spacing w:line="480" w:lineRule="auto"/>
        <w:contextualSpacing/>
        <w:rPr>
          <w:rFonts w:ascii="Times New Roman" w:hAnsi="Times New Roman" w:cs="Times New Roman"/>
          <w:b/>
        </w:rPr>
      </w:pPr>
    </w:p>
    <w:p w14:paraId="79D6C023" w14:textId="791D0DCB" w:rsidR="00730B4D" w:rsidRPr="005B4D5D" w:rsidRDefault="006F16C2" w:rsidP="00730B4D">
      <w:pPr>
        <w:spacing w:line="480" w:lineRule="auto"/>
        <w:contextualSpacing/>
        <w:rPr>
          <w:rFonts w:ascii="Times New Roman" w:hAnsi="Times New Roman" w:cs="Times New Roman"/>
          <w:b/>
        </w:rPr>
      </w:pPr>
      <w:r w:rsidRPr="006F16C2">
        <w:rPr>
          <w:rFonts w:ascii="Times New Roman" w:hAnsi="Times New Roman" w:cs="Times New Roman"/>
          <w:b/>
        </w:rPr>
        <w:t xml:space="preserve">Supplementary </w:t>
      </w:r>
      <w:r w:rsidR="00730B4D" w:rsidRPr="005B4D5D">
        <w:rPr>
          <w:rFonts w:ascii="Times New Roman" w:hAnsi="Times New Roman" w:cs="Times New Roman"/>
          <w:b/>
        </w:rPr>
        <w:t>Figure 1 Expression of APLN in rat hippocam</w:t>
      </w:r>
      <w:r w:rsidR="00730B4D" w:rsidRPr="005B4D5D">
        <w:rPr>
          <w:rFonts w:ascii="Times New Roman" w:eastAsia="DengXian" w:hAnsi="Times New Roman" w:cs="Times New Roman"/>
          <w:b/>
        </w:rPr>
        <w:t>pal neurons w</w:t>
      </w:r>
      <w:r w:rsidR="00730B4D" w:rsidRPr="005B4D5D">
        <w:rPr>
          <w:rFonts w:ascii="Times New Roman" w:hAnsi="Times New Roman" w:cs="Times New Roman"/>
          <w:b/>
        </w:rPr>
        <w:t>ith kindled epilepsy</w:t>
      </w:r>
    </w:p>
    <w:p w14:paraId="3E960849" w14:textId="0E2D076D" w:rsidR="00730B4D" w:rsidRDefault="00730B4D" w:rsidP="00730B4D">
      <w:pPr>
        <w:spacing w:line="480" w:lineRule="auto"/>
        <w:contextualSpacing/>
        <w:rPr>
          <w:rFonts w:ascii="Times New Roman" w:hAnsi="Times New Roman" w:cs="Times New Roman"/>
        </w:rPr>
      </w:pPr>
      <w:r w:rsidRPr="005B4D5D">
        <w:rPr>
          <w:rFonts w:ascii="Times New Roman" w:hAnsi="Times New Roman" w:cs="Times New Roman"/>
        </w:rPr>
        <w:t>Rats with kindled epilepsy were treated with APLN s</w:t>
      </w:r>
      <w:r w:rsidRPr="005B4D5D">
        <w:rPr>
          <w:rFonts w:ascii="Times New Roman" w:eastAsia="DengXian" w:hAnsi="Times New Roman" w:cs="Times New Roman"/>
        </w:rPr>
        <w:t>h</w:t>
      </w:r>
      <w:r w:rsidRPr="005B4D5D">
        <w:rPr>
          <w:rFonts w:ascii="Times New Roman" w:hAnsi="Times New Roman" w:cs="Times New Roman"/>
        </w:rPr>
        <w:t xml:space="preserve">RNA, APLN overexpression vector, and miR-182 agomir, injected via the tail. Rats included in the control group were treated with saline and Lipofectamine 2000. APLN expression in the hippocampal neurons were examined by qRT-PCT. </w:t>
      </w:r>
      <w:r w:rsidRPr="005B4D5D">
        <w:rPr>
          <w:rFonts w:ascii="Times New Roman" w:hAnsi="Times New Roman" w:cs="Times New Roman"/>
          <w:vertAlign w:val="superscript"/>
        </w:rPr>
        <w:t>****</w:t>
      </w:r>
      <w:r w:rsidRPr="005B4D5D">
        <w:rPr>
          <w:rFonts w:ascii="Times New Roman" w:hAnsi="Times New Roman" w:cs="Times New Roman"/>
          <w:i/>
        </w:rPr>
        <w:t>P</w:t>
      </w:r>
      <w:r w:rsidRPr="005B4D5D">
        <w:rPr>
          <w:rFonts w:ascii="Times New Roman" w:hAnsi="Times New Roman" w:cs="Times New Roman"/>
        </w:rPr>
        <w:t xml:space="preserve"> &lt; 0.0001.</w:t>
      </w:r>
    </w:p>
    <w:p w14:paraId="70828AB4" w14:textId="07F762D5" w:rsidR="002966CE" w:rsidRPr="005B4D5D" w:rsidRDefault="002966CE" w:rsidP="00730B4D">
      <w:pPr>
        <w:spacing w:line="480" w:lineRule="auto"/>
        <w:contextualSpacing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B36E290" wp14:editId="477C6415">
            <wp:extent cx="6213051" cy="4659789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126" cy="46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89EE1" w14:textId="44DDBD23" w:rsidR="00730B4D" w:rsidRPr="005B4D5D" w:rsidRDefault="006F16C2" w:rsidP="00730B4D">
      <w:pPr>
        <w:spacing w:line="480" w:lineRule="auto"/>
        <w:contextualSpacing/>
        <w:rPr>
          <w:rFonts w:ascii="Times New Roman" w:hAnsi="Times New Roman" w:cs="Times New Roman"/>
          <w:b/>
        </w:rPr>
      </w:pPr>
      <w:r w:rsidRPr="006F16C2">
        <w:rPr>
          <w:rFonts w:ascii="Times New Roman" w:hAnsi="Times New Roman" w:cs="Times New Roman"/>
          <w:b/>
        </w:rPr>
        <w:t xml:space="preserve">Supplementary </w:t>
      </w:r>
      <w:r w:rsidR="00730B4D" w:rsidRPr="005B4D5D">
        <w:rPr>
          <w:rFonts w:ascii="Times New Roman" w:hAnsi="Times New Roman" w:cs="Times New Roman"/>
          <w:b/>
        </w:rPr>
        <w:t>Figure 2 Expression of apoptosis-associated proteins, mGluR1, and p-AKT levels in the hippocampal neurons from rats with epilepsy</w:t>
      </w:r>
    </w:p>
    <w:p w14:paraId="5783E6B8" w14:textId="77777777" w:rsidR="00730B4D" w:rsidRPr="00D229F6" w:rsidRDefault="00730B4D" w:rsidP="00730B4D">
      <w:pPr>
        <w:spacing w:line="480" w:lineRule="auto"/>
        <w:contextualSpacing/>
        <w:rPr>
          <w:rFonts w:ascii="Times New Roman" w:hAnsi="Times New Roman" w:cs="Times New Roman"/>
          <w:color w:val="C00000"/>
        </w:rPr>
      </w:pPr>
      <w:r w:rsidRPr="005B4D5D">
        <w:rPr>
          <w:rFonts w:ascii="Times New Roman" w:hAnsi="Times New Roman" w:cs="Times New Roman"/>
        </w:rPr>
        <w:t>Rats with kindled epilepsy were treated with APLN s</w:t>
      </w:r>
      <w:r w:rsidRPr="005B4D5D">
        <w:rPr>
          <w:rFonts w:ascii="Times New Roman" w:eastAsia="DengXian" w:hAnsi="Times New Roman" w:cs="Times New Roman"/>
        </w:rPr>
        <w:t>h</w:t>
      </w:r>
      <w:r w:rsidRPr="005B4D5D">
        <w:rPr>
          <w:rFonts w:ascii="Times New Roman" w:hAnsi="Times New Roman" w:cs="Times New Roman"/>
        </w:rPr>
        <w:t xml:space="preserve">RNA, APLN overexpression vector, and miR-182 agomir, injected via the tail. Rats included in the control group were treated with saline and Lipofectamine 2000. Protein expression was examined by Western blotting. β-actin was used as a loading control. A. Western blotting was performed to examine the protein levels of mGluR1, p-AKT, Bax, caspase-3, and Bcl-2. Statistical results of mGluR1 expression (B), p-AKT level (C), Bax expression (D), caspase-3 expression (E), and Bcl-2 expression (F) in different groups. ns, non-significant; </w:t>
      </w:r>
      <w:r w:rsidRPr="00ED0DF3">
        <w:rPr>
          <w:rFonts w:ascii="Times New Roman" w:hAnsi="Times New Roman" w:cs="Times New Roman"/>
          <w:vertAlign w:val="superscript"/>
        </w:rPr>
        <w:t>***</w:t>
      </w:r>
      <w:r w:rsidRPr="00ED0DF3">
        <w:rPr>
          <w:rFonts w:ascii="Times New Roman" w:hAnsi="Times New Roman" w:cs="Times New Roman"/>
          <w:i/>
        </w:rPr>
        <w:t xml:space="preserve">P </w:t>
      </w:r>
      <w:r w:rsidRPr="00ED0DF3">
        <w:rPr>
          <w:rFonts w:ascii="Times New Roman" w:hAnsi="Times New Roman" w:cs="Times New Roman"/>
        </w:rPr>
        <w:t xml:space="preserve">&lt; 0.001, </w:t>
      </w:r>
      <w:r w:rsidRPr="00ED0DF3">
        <w:rPr>
          <w:rFonts w:ascii="Times New Roman" w:hAnsi="Times New Roman" w:cs="Times New Roman"/>
          <w:vertAlign w:val="superscript"/>
        </w:rPr>
        <w:t>****</w:t>
      </w:r>
      <w:r w:rsidRPr="00ED0DF3">
        <w:rPr>
          <w:rFonts w:ascii="Times New Roman" w:hAnsi="Times New Roman" w:cs="Times New Roman"/>
          <w:i/>
        </w:rPr>
        <w:t>P</w:t>
      </w:r>
      <w:r w:rsidRPr="00ED0DF3">
        <w:rPr>
          <w:rFonts w:ascii="Times New Roman" w:hAnsi="Times New Roman" w:cs="Times New Roman"/>
        </w:rPr>
        <w:t xml:space="preserve"> &lt; 0.0001.</w:t>
      </w:r>
    </w:p>
    <w:p w14:paraId="47F245CC" w14:textId="65739E52" w:rsidR="002966CE" w:rsidRDefault="002966CE" w:rsidP="00730B4D">
      <w:pPr>
        <w:spacing w:line="480" w:lineRule="auto"/>
        <w:contextualSpacing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1F8DA0A2" wp14:editId="75C56949">
            <wp:extent cx="6219090" cy="19431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4694" cy="194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4EE89" w14:textId="10403F66" w:rsidR="00472380" w:rsidRPr="00730B4D" w:rsidRDefault="006F16C2" w:rsidP="00730B4D">
      <w:pPr>
        <w:spacing w:line="480" w:lineRule="auto"/>
        <w:contextualSpacing/>
        <w:rPr>
          <w:rFonts w:ascii="Times New Roman" w:eastAsia="DengXian" w:hAnsi="Times New Roman" w:cs="Times New Roman"/>
          <w:b/>
        </w:rPr>
      </w:pPr>
      <w:r w:rsidRPr="006F16C2">
        <w:rPr>
          <w:rFonts w:ascii="Times New Roman" w:hAnsi="Times New Roman" w:cs="Times New Roman"/>
          <w:b/>
        </w:rPr>
        <w:t xml:space="preserve">Supplementary </w:t>
      </w:r>
      <w:bookmarkStart w:id="0" w:name="_GoBack"/>
      <w:bookmarkEnd w:id="0"/>
      <w:r w:rsidR="00730B4D" w:rsidRPr="005B4D5D">
        <w:rPr>
          <w:rFonts w:ascii="Times New Roman" w:hAnsi="Times New Roman" w:cs="Times New Roman"/>
          <w:b/>
        </w:rPr>
        <w:t>Figure 3 Target gene prediction for miR-182</w:t>
      </w:r>
    </w:p>
    <w:sectPr w:rsidR="00472380" w:rsidRPr="00730B4D" w:rsidSect="00FE1F47">
      <w:pgSz w:w="11906" w:h="16838"/>
      <w:pgMar w:top="1701" w:right="1701" w:bottom="1701" w:left="1701" w:header="851" w:footer="992" w:gutter="0"/>
      <w:lnNumType w:countBy="1" w:restart="continuous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FB4537" w14:textId="77777777" w:rsidR="00585849" w:rsidRDefault="00585849" w:rsidP="00730B4D">
      <w:r>
        <w:separator/>
      </w:r>
    </w:p>
  </w:endnote>
  <w:endnote w:type="continuationSeparator" w:id="0">
    <w:p w14:paraId="7F05FD95" w14:textId="77777777" w:rsidR="00585849" w:rsidRDefault="00585849" w:rsidP="00730B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ABC5D3" w14:textId="77777777" w:rsidR="00585849" w:rsidRDefault="00585849" w:rsidP="00730B4D">
      <w:r>
        <w:separator/>
      </w:r>
    </w:p>
  </w:footnote>
  <w:footnote w:type="continuationSeparator" w:id="0">
    <w:p w14:paraId="5FD8C7C3" w14:textId="77777777" w:rsidR="00585849" w:rsidRDefault="00585849" w:rsidP="00730B4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5F6"/>
    <w:rsid w:val="00212237"/>
    <w:rsid w:val="00231AA6"/>
    <w:rsid w:val="002966CE"/>
    <w:rsid w:val="0039754A"/>
    <w:rsid w:val="00472380"/>
    <w:rsid w:val="00585849"/>
    <w:rsid w:val="006F16C2"/>
    <w:rsid w:val="0072370F"/>
    <w:rsid w:val="00730B4D"/>
    <w:rsid w:val="00A26F9E"/>
    <w:rsid w:val="00A32146"/>
    <w:rsid w:val="00ED0DF3"/>
    <w:rsid w:val="00FF2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23B8376"/>
  <w15:chartTrackingRefBased/>
  <w15:docId w15:val="{9FC8AFAA-E30F-4311-A53B-E763720AD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0B4D"/>
    <w:pPr>
      <w:widowControl w:val="0"/>
      <w:jc w:val="both"/>
    </w:pPr>
    <w:rPr>
      <w:rFonts w:ascii="SimSun" w:eastAsia="Malgun Gothic" w:hAnsi="SimSun" w:cs="SimSun"/>
      <w:kern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0B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30B4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30B4D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30B4D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730B4D"/>
  </w:style>
  <w:style w:type="paragraph" w:styleId="BalloonText">
    <w:name w:val="Balloon Text"/>
    <w:basedOn w:val="Normal"/>
    <w:link w:val="BalloonTextChar"/>
    <w:uiPriority w:val="99"/>
    <w:semiHidden/>
    <w:unhideWhenUsed/>
    <w:rsid w:val="006F16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6C2"/>
    <w:rPr>
      <w:rFonts w:ascii="Segoe UI" w:eastAsia="Malgun Gothic" w:hAnsi="Segoe UI" w:cs="Segoe U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C88AD65543844A810C3DD82A589504" ma:contentTypeVersion="10" ma:contentTypeDescription="Create a new document." ma:contentTypeScope="" ma:versionID="9b949b524a923482e8a77a5600b5b81e">
  <xsd:schema xmlns:xsd="http://www.w3.org/2001/XMLSchema" xmlns:xs="http://www.w3.org/2001/XMLSchema" xmlns:p="http://schemas.microsoft.com/office/2006/metadata/properties" xmlns:ns3="3cb5a929-a351-4e0f-b46b-be99a4aa8e8c" targetNamespace="http://schemas.microsoft.com/office/2006/metadata/properties" ma:root="true" ma:fieldsID="5ea63e8227b2a33ff22424fb13af1106" ns3:_="">
    <xsd:import namespace="3cb5a929-a351-4e0f-b46b-be99a4aa8e8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b5a929-a351-4e0f-b46b-be99a4aa8e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DB9347-6E53-4B35-B38B-32FE4987C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b5a929-a351-4e0f-b46b-be99a4aa8e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2CCE98-714C-4729-AE09-29DA84F47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AB3A1B-143B-44D5-A4D5-71A6C96BB6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sulong</dc:creator>
  <cp:keywords/>
  <dc:description/>
  <cp:lastModifiedBy>Tania Olliver</cp:lastModifiedBy>
  <cp:revision>2</cp:revision>
  <dcterms:created xsi:type="dcterms:W3CDTF">2020-01-22T01:57:00Z</dcterms:created>
  <dcterms:modified xsi:type="dcterms:W3CDTF">2020-01-22T01:57:00Z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0x0101000FC88AD65543844A810C3DD82A589504</vt:lpwstr>
  </property>
</Properties>
</file>