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07B7F1" w14:textId="77777777" w:rsidR="00850912" w:rsidRPr="00885163" w:rsidRDefault="00850912" w:rsidP="00850912">
      <w:pPr>
        <w:widowControl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85163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02E17012" wp14:editId="1D9507A2">
            <wp:extent cx="5400040" cy="2663434"/>
            <wp:effectExtent l="0" t="0" r="0" b="3810"/>
            <wp:docPr id="10" name="图片 10" descr="E:\工作文件夹\SCI\曹涛\肝癌lncRNA\Suppl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工作文件夹\SCI\曹涛\肝癌lncRNA\Suppl figure 1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6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7167A" w14:textId="77777777" w:rsidR="00850912" w:rsidRDefault="00850912" w:rsidP="00850912">
      <w:pPr>
        <w:widowControl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F289561" w14:textId="6267BEFF" w:rsidR="00850912" w:rsidRPr="00885163" w:rsidRDefault="00850912" w:rsidP="00850912">
      <w:pPr>
        <w:widowControl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8516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Supplementary figure 1 </w:t>
      </w:r>
      <w:r w:rsidRPr="00885163">
        <w:rPr>
          <w:rFonts w:ascii="Times New Roman" w:hAnsi="Times New Roman" w:cs="Times New Roman"/>
          <w:color w:val="000000"/>
          <w:sz w:val="24"/>
          <w:szCs w:val="24"/>
        </w:rPr>
        <w:t xml:space="preserve">Twenty lncRNA heat maps (red: up-regulated; green: down-regulated) with the most significant differential expression in 50 pairs of liver cancer and paracancerous paired specimens in the TCGA database, where the red arrow indicates the location of RP11-422N16.3. </w:t>
      </w:r>
    </w:p>
    <w:p w14:paraId="62F79BC1" w14:textId="7FD05DC6" w:rsidR="00850912" w:rsidRDefault="00850912" w:rsidP="00850912">
      <w:pPr>
        <w:widowControl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7AA7C19" w14:textId="77777777" w:rsidR="00850912" w:rsidRPr="00885163" w:rsidRDefault="00850912" w:rsidP="00850912">
      <w:pPr>
        <w:widowControl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01F1C12" w14:textId="77777777" w:rsidR="00850912" w:rsidRPr="00885163" w:rsidRDefault="00850912" w:rsidP="00850912">
      <w:pPr>
        <w:widowControl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85163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795281F4" wp14:editId="6D507602">
            <wp:extent cx="5400040" cy="2810980"/>
            <wp:effectExtent l="0" t="0" r="0" b="8890"/>
            <wp:docPr id="11" name="图片 11" descr="E:\工作文件夹\SCI\曹涛\肝癌lncRNA\suppl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工作文件夹\SCI\曹涛\肝癌lncRNA\suppl figure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4BA07" w14:textId="77777777" w:rsidR="00850912" w:rsidRPr="00885163" w:rsidRDefault="00850912" w:rsidP="00850912">
      <w:pPr>
        <w:widowControl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85163">
        <w:rPr>
          <w:rFonts w:ascii="Times New Roman" w:hAnsi="Times New Roman" w:cs="Times New Roman"/>
          <w:b/>
          <w:color w:val="000000"/>
          <w:sz w:val="24"/>
          <w:szCs w:val="24"/>
        </w:rPr>
        <w:t>Supplementary figure 2</w:t>
      </w:r>
      <w:r w:rsidRPr="00885163">
        <w:rPr>
          <w:rFonts w:ascii="Times New Roman" w:hAnsi="Times New Roman" w:cs="Times New Roman"/>
          <w:color w:val="000000"/>
          <w:sz w:val="24"/>
          <w:szCs w:val="24"/>
        </w:rPr>
        <w:t xml:space="preserve"> RP11-422N16.3 was mapped to Human (GRCh38.p10) chr8(q23.2)(A) with 2 exons and a transcript length of 3,075 bps (B). Sequence analysis revealed that the RP11-422N16.3 local sequence and the DMGDH promoter region local sequence can be reverse-complementary paired binding, which may have targeted regulation (C).</w:t>
      </w:r>
    </w:p>
    <w:p w14:paraId="2AA54DD7" w14:textId="77777777" w:rsidR="00850912" w:rsidRDefault="00850912" w:rsidP="00246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18550F0" w14:textId="77777777" w:rsidR="00850912" w:rsidRDefault="00850912" w:rsidP="00246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0B1A96" w14:textId="77777777" w:rsidR="00850912" w:rsidRDefault="00850912" w:rsidP="00246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356F85" w14:textId="10F03F30" w:rsidR="00246D56" w:rsidRDefault="00E95621" w:rsidP="00246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E3B0A2" wp14:editId="77F08A43">
            <wp:extent cx="6120130" cy="22009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0403DA" w14:textId="77777777" w:rsidR="00246D56" w:rsidRDefault="00246D56" w:rsidP="00246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912">
        <w:rPr>
          <w:rFonts w:ascii="Times New Roman" w:hAnsi="Times New Roman" w:cs="Times New Roman"/>
          <w:b/>
          <w:bCs/>
          <w:sz w:val="24"/>
          <w:szCs w:val="24"/>
        </w:rPr>
        <w:t>Supplementary figure 3</w:t>
      </w:r>
      <w:r w:rsidRPr="00246D56">
        <w:rPr>
          <w:rFonts w:ascii="Times New Roman" w:hAnsi="Times New Roman" w:cs="Times New Roman"/>
          <w:sz w:val="24"/>
          <w:szCs w:val="24"/>
        </w:rPr>
        <w:t xml:space="preserve"> Multiple algorithms in the online database lncipedia predicted that RP11-422N16.3 did not have protein coding capability (lncipedia.org/db/transcript/lnc-RP11-422N16.3.1-9:1).</w:t>
      </w:r>
    </w:p>
    <w:p w14:paraId="7414A76C" w14:textId="789A7EFE" w:rsidR="00246D56" w:rsidRDefault="00246D56" w:rsidP="00246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06CD2F" w14:textId="77777777" w:rsidR="00850912" w:rsidRDefault="00850912" w:rsidP="00246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67C348" w14:textId="77777777" w:rsidR="00246D56" w:rsidRDefault="00246D56" w:rsidP="00246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6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D15CD5" wp14:editId="11E30085">
            <wp:extent cx="6120130" cy="2728479"/>
            <wp:effectExtent l="0" t="0" r="0" b="0"/>
            <wp:docPr id="5" name="图片 5" descr="E:\工作文件夹\SCI\曹涛\肝癌lncRNA\Suppl 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工作文件夹\SCI\曹涛\肝癌lncRNA\Suppl figure 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2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B9142" w14:textId="77777777" w:rsidR="00850912" w:rsidRDefault="00246D56" w:rsidP="00246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912">
        <w:rPr>
          <w:rFonts w:ascii="Times New Roman" w:hAnsi="Times New Roman" w:cs="Times New Roman"/>
          <w:b/>
          <w:bCs/>
          <w:sz w:val="24"/>
          <w:szCs w:val="24"/>
        </w:rPr>
        <w:t>Supplementary figure 4</w:t>
      </w:r>
      <w:r w:rsidRPr="00246D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9BEA8B" w14:textId="6581BBB9" w:rsidR="00850912" w:rsidRDefault="00246D56" w:rsidP="00246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912">
        <w:rPr>
          <w:rFonts w:ascii="Times New Roman" w:hAnsi="Times New Roman" w:cs="Times New Roman"/>
          <w:b/>
          <w:bCs/>
          <w:sz w:val="24"/>
          <w:szCs w:val="24"/>
        </w:rPr>
        <w:t>A:</w:t>
      </w:r>
      <w:r w:rsidRPr="00246D56">
        <w:rPr>
          <w:rFonts w:ascii="Times New Roman" w:hAnsi="Times New Roman" w:cs="Times New Roman"/>
          <w:sz w:val="24"/>
          <w:szCs w:val="24"/>
        </w:rPr>
        <w:t xml:space="preserve"> Wound healing assay showed that over-expression of pcDNA3.1-RP11-422N16.3 or down-regulation of miR-23b-3p could significantly reduce cell migrated distance; </w:t>
      </w:r>
    </w:p>
    <w:p w14:paraId="42BB9479" w14:textId="792312FA" w:rsidR="00246D56" w:rsidRPr="00246D56" w:rsidRDefault="00246D56" w:rsidP="00246D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912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246D56">
        <w:rPr>
          <w:rFonts w:ascii="Times New Roman" w:hAnsi="Times New Roman" w:cs="Times New Roman"/>
          <w:sz w:val="24"/>
          <w:szCs w:val="24"/>
        </w:rPr>
        <w:t>: Transwell chamber assay showed that over-expression of pcDNA3.1-RP11-422N16.3 or down-regulation of miR-23b-3p could significantly reduce invasion cell number. * indicated that P &lt; 0.05 compared to blank group.</w:t>
      </w:r>
    </w:p>
    <w:sectPr w:rsidR="00246D56" w:rsidRPr="00246D56" w:rsidSect="00370F22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261"/>
    <w:rsid w:val="000F1261"/>
    <w:rsid w:val="00246D56"/>
    <w:rsid w:val="00370F22"/>
    <w:rsid w:val="00850912"/>
    <w:rsid w:val="00B31A49"/>
    <w:rsid w:val="00E95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BACE9"/>
  <w15:chartTrackingRefBased/>
  <w15:docId w15:val="{488798A0-A220-4714-B895-3E545B95F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184</Words>
  <Characters>1053</Characters>
  <Application>Microsoft Office Word</Application>
  <DocSecurity>0</DocSecurity>
  <Lines>8</Lines>
  <Paragraphs>2</Paragraphs>
  <ScaleCrop>false</ScaleCrop>
  <Company>OL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</dc:creator>
  <cp:keywords/>
  <dc:description/>
  <cp:lastModifiedBy>Faamoana, Richard</cp:lastModifiedBy>
  <cp:revision>4</cp:revision>
  <dcterms:created xsi:type="dcterms:W3CDTF">2019-11-04T15:54:00Z</dcterms:created>
  <dcterms:modified xsi:type="dcterms:W3CDTF">2019-11-25T01:27:00Z</dcterms:modified>
</cp:coreProperties>
</file>