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AC48A" w14:textId="77777777" w:rsidR="001F3314" w:rsidRDefault="001F3314" w:rsidP="00A112FF">
      <w:pPr>
        <w:spacing w:line="360" w:lineRule="auto"/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  <w:r>
        <w:rPr>
          <w:rFonts w:ascii="Arial" w:hAnsi="Arial" w:cs="Arial" w:hint="eastAsia"/>
          <w:b/>
          <w:sz w:val="30"/>
          <w:szCs w:val="30"/>
        </w:rPr>
        <w:t>Supporting</w:t>
      </w:r>
      <w:r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 w:hint="eastAsia"/>
          <w:b/>
          <w:sz w:val="30"/>
          <w:szCs w:val="30"/>
        </w:rPr>
        <w:t>Information</w:t>
      </w:r>
    </w:p>
    <w:p w14:paraId="09A2CF75" w14:textId="77777777" w:rsidR="00825948" w:rsidRPr="00825948" w:rsidRDefault="00825948" w:rsidP="00825948">
      <w:pPr>
        <w:spacing w:line="360" w:lineRule="auto"/>
        <w:rPr>
          <w:rFonts w:ascii="Arial" w:hAnsi="Arial" w:cs="Arial"/>
          <w:sz w:val="20"/>
          <w:szCs w:val="20"/>
        </w:rPr>
      </w:pPr>
      <w:r w:rsidRPr="00825948">
        <w:rPr>
          <w:rFonts w:ascii="Arial" w:hAnsi="Arial" w:cs="Arial"/>
          <w:sz w:val="20"/>
          <w:szCs w:val="20"/>
        </w:rPr>
        <w:t>ORIGINAL RESEARCH</w:t>
      </w:r>
    </w:p>
    <w:p w14:paraId="45FD6F94" w14:textId="77777777" w:rsidR="00825948" w:rsidRPr="00825948" w:rsidRDefault="00825948" w:rsidP="00825948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825948">
        <w:rPr>
          <w:rFonts w:ascii="Arial" w:hAnsi="Arial" w:cs="Arial"/>
          <w:sz w:val="20"/>
          <w:szCs w:val="20"/>
        </w:rPr>
        <w:t>Yike</w:t>
      </w:r>
      <w:proofErr w:type="spellEnd"/>
      <w:r w:rsidRPr="00825948">
        <w:rPr>
          <w:rFonts w:ascii="Arial" w:hAnsi="Arial" w:cs="Arial" w:hint="eastAsia"/>
          <w:sz w:val="20"/>
          <w:szCs w:val="20"/>
        </w:rPr>
        <w:t xml:space="preserve"> H</w:t>
      </w:r>
      <w:r w:rsidRPr="00825948">
        <w:rPr>
          <w:rFonts w:ascii="Arial" w:hAnsi="Arial" w:cs="Arial"/>
          <w:sz w:val="20"/>
          <w:szCs w:val="20"/>
        </w:rPr>
        <w:t xml:space="preserve">uang, </w:t>
      </w:r>
      <w:proofErr w:type="spellStart"/>
      <w:r w:rsidRPr="00825948">
        <w:rPr>
          <w:rFonts w:ascii="Arial" w:hAnsi="Arial" w:cs="Arial"/>
          <w:sz w:val="20"/>
          <w:szCs w:val="20"/>
        </w:rPr>
        <w:t>Suya</w:t>
      </w:r>
      <w:proofErr w:type="spellEnd"/>
      <w:r w:rsidRPr="00825948">
        <w:rPr>
          <w:rFonts w:ascii="Arial" w:hAnsi="Arial" w:cs="Arial"/>
          <w:sz w:val="20"/>
          <w:szCs w:val="20"/>
        </w:rPr>
        <w:t xml:space="preserve"> Deng </w:t>
      </w:r>
      <w:r w:rsidRPr="00825948">
        <w:rPr>
          <w:rFonts w:ascii="Arial" w:hAnsi="Arial" w:cs="Arial" w:hint="eastAsia"/>
          <w:sz w:val="20"/>
          <w:szCs w:val="20"/>
        </w:rPr>
        <w:t>et</w:t>
      </w:r>
      <w:r w:rsidRPr="00825948">
        <w:rPr>
          <w:rFonts w:ascii="Arial" w:hAnsi="Arial" w:cs="Arial"/>
          <w:sz w:val="20"/>
          <w:szCs w:val="20"/>
        </w:rPr>
        <w:t xml:space="preserve"> </w:t>
      </w:r>
      <w:r w:rsidRPr="00825948">
        <w:rPr>
          <w:rFonts w:ascii="Arial" w:hAnsi="Arial" w:cs="Arial" w:hint="eastAsia"/>
          <w:sz w:val="20"/>
          <w:szCs w:val="20"/>
        </w:rPr>
        <w:t>al</w:t>
      </w:r>
    </w:p>
    <w:p w14:paraId="26AE63D3" w14:textId="77777777" w:rsidR="00825948" w:rsidRPr="00825948" w:rsidRDefault="00825948" w:rsidP="00825948">
      <w:pPr>
        <w:spacing w:line="360" w:lineRule="auto"/>
        <w:rPr>
          <w:rFonts w:ascii="Arial" w:hAnsi="Arial" w:cs="Arial"/>
          <w:sz w:val="20"/>
          <w:szCs w:val="20"/>
          <w:vertAlign w:val="superscript"/>
        </w:rPr>
      </w:pPr>
    </w:p>
    <w:p w14:paraId="0B384E14" w14:textId="77777777" w:rsidR="00406AE3" w:rsidRDefault="00406AE3" w:rsidP="00825948">
      <w:pPr>
        <w:spacing w:line="360" w:lineRule="auto"/>
        <w:rPr>
          <w:rFonts w:ascii="Arial" w:hAnsi="Arial" w:cs="Arial"/>
          <w:b/>
          <w:sz w:val="32"/>
          <w:szCs w:val="32"/>
        </w:rPr>
      </w:pPr>
      <w:bookmarkStart w:id="1" w:name="OLE_LINK24"/>
      <w:r w:rsidRPr="00406AE3">
        <w:rPr>
          <w:rFonts w:ascii="Arial" w:hAnsi="Arial" w:cs="Arial"/>
          <w:b/>
          <w:sz w:val="32"/>
          <w:szCs w:val="32"/>
        </w:rPr>
        <w:t xml:space="preserve">Evaluation of intestinal absorption mechanism and pharmacokinetics of curcumin-loaded </w:t>
      </w:r>
      <w:proofErr w:type="spellStart"/>
      <w:r w:rsidRPr="00406AE3">
        <w:rPr>
          <w:rFonts w:ascii="Arial" w:hAnsi="Arial" w:cs="Arial"/>
          <w:b/>
          <w:sz w:val="32"/>
          <w:szCs w:val="32"/>
        </w:rPr>
        <w:t>galactosylated</w:t>
      </w:r>
      <w:proofErr w:type="spellEnd"/>
      <w:r w:rsidRPr="00406AE3">
        <w:rPr>
          <w:rFonts w:ascii="Arial" w:hAnsi="Arial" w:cs="Arial"/>
          <w:b/>
          <w:sz w:val="32"/>
          <w:szCs w:val="32"/>
        </w:rPr>
        <w:t xml:space="preserve"> albumin nanoparticles</w:t>
      </w:r>
    </w:p>
    <w:p w14:paraId="0A180021" w14:textId="77777777" w:rsidR="00825948" w:rsidRPr="00825948" w:rsidRDefault="00825948" w:rsidP="00825948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825948">
        <w:rPr>
          <w:rFonts w:ascii="Arial" w:hAnsi="Arial" w:cs="Arial"/>
          <w:sz w:val="20"/>
          <w:szCs w:val="20"/>
        </w:rPr>
        <w:t>Yike</w:t>
      </w:r>
      <w:proofErr w:type="spellEnd"/>
      <w:r w:rsidRPr="00825948">
        <w:rPr>
          <w:rFonts w:ascii="Arial" w:hAnsi="Arial" w:cs="Arial" w:hint="eastAsia"/>
          <w:sz w:val="20"/>
          <w:szCs w:val="20"/>
        </w:rPr>
        <w:t xml:space="preserve"> H</w:t>
      </w:r>
      <w:r w:rsidRPr="00825948">
        <w:rPr>
          <w:rFonts w:ascii="Arial" w:hAnsi="Arial" w:cs="Arial"/>
          <w:sz w:val="20"/>
          <w:szCs w:val="20"/>
        </w:rPr>
        <w:t>uang</w:t>
      </w:r>
      <w:r w:rsidRPr="00825948">
        <w:rPr>
          <w:rFonts w:ascii="Arial" w:hAnsi="Arial" w:cs="Arial"/>
          <w:sz w:val="20"/>
          <w:szCs w:val="20"/>
          <w:vertAlign w:val="superscript"/>
        </w:rPr>
        <w:t>1</w:t>
      </w:r>
    </w:p>
    <w:p w14:paraId="55C9A191" w14:textId="77777777" w:rsidR="00825948" w:rsidRPr="00825948" w:rsidRDefault="00825948" w:rsidP="00825948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825948">
        <w:rPr>
          <w:rFonts w:ascii="Arial" w:hAnsi="Arial" w:cs="Arial"/>
          <w:sz w:val="20"/>
          <w:szCs w:val="20"/>
        </w:rPr>
        <w:t>Suya</w:t>
      </w:r>
      <w:proofErr w:type="spellEnd"/>
      <w:r w:rsidRPr="00825948">
        <w:rPr>
          <w:rFonts w:ascii="Arial" w:hAnsi="Arial" w:cs="Arial"/>
          <w:sz w:val="20"/>
          <w:szCs w:val="20"/>
        </w:rPr>
        <w:t xml:space="preserve"> Deng</w:t>
      </w:r>
      <w:r w:rsidRPr="00825948">
        <w:rPr>
          <w:rFonts w:ascii="Arial" w:hAnsi="Arial" w:cs="Arial"/>
          <w:sz w:val="20"/>
          <w:szCs w:val="20"/>
          <w:vertAlign w:val="superscript"/>
        </w:rPr>
        <w:t>1</w:t>
      </w:r>
    </w:p>
    <w:p w14:paraId="33481EA1" w14:textId="77777777" w:rsidR="00825948" w:rsidRPr="00825948" w:rsidRDefault="00825948" w:rsidP="00825948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825948">
        <w:rPr>
          <w:rFonts w:ascii="Arial" w:hAnsi="Arial" w:cs="Arial"/>
          <w:sz w:val="20"/>
          <w:szCs w:val="20"/>
        </w:rPr>
        <w:t>Xinxin</w:t>
      </w:r>
      <w:proofErr w:type="spellEnd"/>
      <w:r w:rsidRPr="00825948">
        <w:rPr>
          <w:rFonts w:ascii="Arial" w:hAnsi="Arial" w:cs="Arial"/>
          <w:sz w:val="20"/>
          <w:szCs w:val="20"/>
        </w:rPr>
        <w:t xml:space="preserve"> Luo</w:t>
      </w:r>
    </w:p>
    <w:p w14:paraId="70CBCFFE" w14:textId="77777777" w:rsidR="00825948" w:rsidRPr="00825948" w:rsidRDefault="00825948" w:rsidP="00825948">
      <w:pPr>
        <w:spacing w:line="360" w:lineRule="auto"/>
        <w:rPr>
          <w:rFonts w:ascii="Arial" w:hAnsi="Arial" w:cs="Arial"/>
          <w:sz w:val="20"/>
          <w:szCs w:val="20"/>
        </w:rPr>
      </w:pPr>
      <w:r w:rsidRPr="00825948">
        <w:rPr>
          <w:rFonts w:ascii="Arial" w:hAnsi="Arial" w:cs="Arial"/>
          <w:sz w:val="20"/>
          <w:szCs w:val="20"/>
        </w:rPr>
        <w:t>Yi Liu</w:t>
      </w:r>
    </w:p>
    <w:p w14:paraId="55F72461" w14:textId="77777777" w:rsidR="00825948" w:rsidRPr="00825948" w:rsidRDefault="00825948" w:rsidP="00825948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825948">
        <w:rPr>
          <w:rFonts w:ascii="Arial" w:hAnsi="Arial" w:cs="Arial" w:hint="eastAsia"/>
          <w:sz w:val="20"/>
          <w:szCs w:val="20"/>
        </w:rPr>
        <w:t>Wanjun</w:t>
      </w:r>
      <w:proofErr w:type="spellEnd"/>
      <w:r w:rsidRPr="00825948">
        <w:rPr>
          <w:rFonts w:ascii="Arial" w:hAnsi="Arial" w:cs="Arial"/>
          <w:sz w:val="20"/>
          <w:szCs w:val="20"/>
        </w:rPr>
        <w:t xml:space="preserve"> </w:t>
      </w:r>
      <w:r w:rsidRPr="00825948">
        <w:rPr>
          <w:rFonts w:ascii="Arial" w:hAnsi="Arial" w:cs="Arial" w:hint="eastAsia"/>
          <w:sz w:val="20"/>
          <w:szCs w:val="20"/>
        </w:rPr>
        <w:t>Xu</w:t>
      </w:r>
    </w:p>
    <w:p w14:paraId="053B86AB" w14:textId="77777777" w:rsidR="00825948" w:rsidRPr="00825948" w:rsidRDefault="00825948" w:rsidP="00825948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825948">
        <w:rPr>
          <w:rFonts w:ascii="Arial" w:hAnsi="Arial" w:cs="Arial"/>
          <w:sz w:val="20"/>
          <w:szCs w:val="20"/>
        </w:rPr>
        <w:t>Jingmiao</w:t>
      </w:r>
      <w:proofErr w:type="spellEnd"/>
      <w:r w:rsidRPr="00825948">
        <w:rPr>
          <w:rFonts w:ascii="Arial" w:hAnsi="Arial" w:cs="Arial"/>
          <w:sz w:val="20"/>
          <w:szCs w:val="20"/>
        </w:rPr>
        <w:t xml:space="preserve"> Pan</w:t>
      </w:r>
    </w:p>
    <w:p w14:paraId="57A9F109" w14:textId="77777777" w:rsidR="00825948" w:rsidRPr="00825948" w:rsidRDefault="00825948" w:rsidP="00825948">
      <w:pPr>
        <w:spacing w:line="360" w:lineRule="auto"/>
        <w:rPr>
          <w:rFonts w:ascii="Arial" w:hAnsi="Arial" w:cs="Arial"/>
          <w:sz w:val="20"/>
          <w:szCs w:val="20"/>
        </w:rPr>
      </w:pPr>
      <w:r w:rsidRPr="00825948">
        <w:rPr>
          <w:rFonts w:ascii="Arial" w:hAnsi="Arial" w:cs="Arial" w:hint="eastAsia"/>
          <w:sz w:val="20"/>
          <w:szCs w:val="20"/>
        </w:rPr>
        <w:t>Wang</w:t>
      </w:r>
      <w:r w:rsidRPr="00825948">
        <w:rPr>
          <w:rFonts w:ascii="Arial" w:hAnsi="Arial" w:cs="Arial"/>
          <w:sz w:val="20"/>
          <w:szCs w:val="20"/>
        </w:rPr>
        <w:t xml:space="preserve"> </w:t>
      </w:r>
      <w:r w:rsidRPr="00825948">
        <w:rPr>
          <w:rFonts w:ascii="Arial" w:hAnsi="Arial" w:cs="Arial" w:hint="eastAsia"/>
          <w:sz w:val="20"/>
          <w:szCs w:val="20"/>
        </w:rPr>
        <w:t>Min</w:t>
      </w:r>
    </w:p>
    <w:p w14:paraId="2D90D8D6" w14:textId="77777777" w:rsidR="00825948" w:rsidRPr="00825948" w:rsidRDefault="00825948" w:rsidP="00825948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825948">
        <w:rPr>
          <w:rFonts w:ascii="Arial" w:hAnsi="Arial" w:cs="Arial"/>
          <w:sz w:val="20"/>
          <w:szCs w:val="20"/>
        </w:rPr>
        <w:t>Zhining</w:t>
      </w:r>
      <w:proofErr w:type="spellEnd"/>
      <w:r w:rsidRPr="00825948">
        <w:rPr>
          <w:rFonts w:ascii="Arial" w:hAnsi="Arial" w:cs="Arial"/>
          <w:sz w:val="20"/>
          <w:szCs w:val="20"/>
        </w:rPr>
        <w:t xml:space="preserve"> Xia</w:t>
      </w:r>
      <w:r w:rsidRPr="00825948">
        <w:rPr>
          <w:rFonts w:ascii="Arial" w:hAnsi="Arial" w:cs="Arial" w:hint="eastAsia"/>
          <w:sz w:val="20"/>
          <w:szCs w:val="20"/>
        </w:rPr>
        <w:t>*</w:t>
      </w:r>
    </w:p>
    <w:p w14:paraId="28DB592B" w14:textId="77777777" w:rsidR="00825948" w:rsidRPr="00825948" w:rsidRDefault="00825948" w:rsidP="00825948">
      <w:pPr>
        <w:spacing w:line="360" w:lineRule="auto"/>
        <w:rPr>
          <w:rFonts w:ascii="Arial" w:hAnsi="Arial" w:cs="Arial"/>
          <w:sz w:val="20"/>
          <w:szCs w:val="20"/>
        </w:rPr>
      </w:pPr>
    </w:p>
    <w:p w14:paraId="01F88EC8" w14:textId="77777777" w:rsidR="00825948" w:rsidRPr="00825948" w:rsidRDefault="00825948" w:rsidP="00825948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bookmarkStart w:id="2" w:name="OLE_LINK37"/>
      <w:bookmarkStart w:id="3" w:name="OLE_LINK38"/>
      <w:bookmarkStart w:id="4" w:name="OLE_LINK22"/>
      <w:bookmarkStart w:id="5" w:name="OLE_LINK23"/>
      <w:bookmarkEnd w:id="1"/>
      <w:r w:rsidRPr="00825948">
        <w:rPr>
          <w:rFonts w:ascii="Arial" w:hAnsi="Arial" w:cs="Arial"/>
          <w:color w:val="000000" w:themeColor="text1"/>
          <w:sz w:val="20"/>
          <w:szCs w:val="20"/>
        </w:rPr>
        <w:t>School of Pharmaceutical Sciences</w:t>
      </w:r>
      <w:bookmarkEnd w:id="2"/>
      <w:bookmarkEnd w:id="3"/>
      <w:r w:rsidRPr="00825948">
        <w:rPr>
          <w:rFonts w:ascii="Arial" w:hAnsi="Arial" w:cs="Arial"/>
          <w:color w:val="000000" w:themeColor="text1"/>
          <w:sz w:val="20"/>
          <w:szCs w:val="20"/>
        </w:rPr>
        <w:t xml:space="preserve"> and Innovative Drug Research Centre</w:t>
      </w:r>
      <w:bookmarkEnd w:id="4"/>
      <w:bookmarkEnd w:id="5"/>
      <w:r w:rsidRPr="00825948">
        <w:rPr>
          <w:rFonts w:ascii="Arial" w:hAnsi="Arial" w:cs="Arial"/>
          <w:color w:val="000000" w:themeColor="text1"/>
          <w:sz w:val="20"/>
          <w:szCs w:val="20"/>
        </w:rPr>
        <w:t>, Chongqing University, Chongqing, 401331, China</w:t>
      </w:r>
    </w:p>
    <w:p w14:paraId="378A3F10" w14:textId="77777777" w:rsidR="00825948" w:rsidRPr="00825948" w:rsidRDefault="00825948" w:rsidP="00825948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25948">
        <w:rPr>
          <w:rFonts w:ascii="Arial" w:hAnsi="Arial" w:cs="Arial"/>
          <w:color w:val="000000" w:themeColor="text1"/>
          <w:sz w:val="20"/>
          <w:szCs w:val="20"/>
        </w:rPr>
        <w:t>*Co-C</w:t>
      </w:r>
      <w:r w:rsidRPr="00825948">
        <w:rPr>
          <w:rFonts w:ascii="Arial" w:hAnsi="Arial" w:cs="Arial" w:hint="eastAsia"/>
          <w:color w:val="000000" w:themeColor="text1"/>
          <w:sz w:val="20"/>
          <w:szCs w:val="20"/>
        </w:rPr>
        <w:t>orrespondence:</w:t>
      </w:r>
      <w:r w:rsidRPr="0082594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25948">
        <w:rPr>
          <w:rFonts w:ascii="Arial" w:hAnsi="Arial" w:cs="Arial" w:hint="eastAsia"/>
          <w:color w:val="000000" w:themeColor="text1"/>
          <w:sz w:val="20"/>
          <w:szCs w:val="20"/>
        </w:rPr>
        <w:t>Professor</w:t>
      </w:r>
      <w:r w:rsidRPr="0082594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25948">
        <w:rPr>
          <w:rFonts w:ascii="Arial" w:hAnsi="Arial" w:cs="Arial"/>
          <w:color w:val="000000" w:themeColor="text1"/>
          <w:sz w:val="20"/>
          <w:szCs w:val="20"/>
        </w:rPr>
        <w:t>Zhining</w:t>
      </w:r>
      <w:proofErr w:type="spellEnd"/>
      <w:r w:rsidRPr="00825948">
        <w:rPr>
          <w:rFonts w:ascii="Arial" w:hAnsi="Arial" w:cs="Arial"/>
          <w:color w:val="000000" w:themeColor="text1"/>
          <w:sz w:val="20"/>
          <w:szCs w:val="20"/>
        </w:rPr>
        <w:t xml:space="preserve"> Xia</w:t>
      </w:r>
    </w:p>
    <w:p w14:paraId="4DA20954" w14:textId="77777777" w:rsidR="00825948" w:rsidRPr="00825948" w:rsidRDefault="00825948" w:rsidP="00825948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25948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Pr="00825948">
        <w:rPr>
          <w:rFonts w:ascii="Arial" w:hAnsi="Arial" w:cs="Arial"/>
          <w:color w:val="000000" w:themeColor="text1"/>
          <w:sz w:val="20"/>
          <w:szCs w:val="20"/>
        </w:rPr>
        <w:t>T</w:t>
      </w:r>
      <w:r w:rsidRPr="00825948">
        <w:rPr>
          <w:rFonts w:ascii="Arial" w:hAnsi="Arial" w:cs="Arial" w:hint="eastAsia"/>
          <w:color w:val="000000" w:themeColor="text1"/>
          <w:sz w:val="20"/>
          <w:szCs w:val="20"/>
        </w:rPr>
        <w:t>he authors contributed equally to this work</w:t>
      </w:r>
    </w:p>
    <w:p w14:paraId="5C4CB50E" w14:textId="77777777" w:rsidR="00825948" w:rsidRPr="00825948" w:rsidRDefault="00825948" w:rsidP="00825948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25948">
        <w:rPr>
          <w:rFonts w:ascii="Arial" w:hAnsi="Arial" w:cs="Arial"/>
          <w:color w:val="000000" w:themeColor="text1"/>
          <w:sz w:val="20"/>
          <w:szCs w:val="20"/>
        </w:rPr>
        <w:t xml:space="preserve">Chongqing University </w:t>
      </w:r>
      <w:proofErr w:type="spellStart"/>
      <w:r w:rsidRPr="00825948">
        <w:rPr>
          <w:rFonts w:ascii="Arial" w:hAnsi="Arial" w:cs="Arial"/>
          <w:color w:val="000000" w:themeColor="text1"/>
          <w:sz w:val="20"/>
          <w:szCs w:val="20"/>
        </w:rPr>
        <w:t>Huxi</w:t>
      </w:r>
      <w:proofErr w:type="spellEnd"/>
      <w:r w:rsidRPr="00825948">
        <w:rPr>
          <w:rFonts w:ascii="Arial" w:hAnsi="Arial" w:cs="Arial"/>
          <w:color w:val="000000" w:themeColor="text1"/>
          <w:sz w:val="20"/>
          <w:szCs w:val="20"/>
        </w:rPr>
        <w:t xml:space="preserve"> Campus, No.55 </w:t>
      </w:r>
      <w:proofErr w:type="spellStart"/>
      <w:r w:rsidRPr="00825948">
        <w:rPr>
          <w:rFonts w:ascii="Arial" w:hAnsi="Arial" w:cs="Arial"/>
          <w:color w:val="000000" w:themeColor="text1"/>
          <w:sz w:val="20"/>
          <w:szCs w:val="20"/>
        </w:rPr>
        <w:t>Daxuecheng</w:t>
      </w:r>
      <w:proofErr w:type="spellEnd"/>
      <w:r w:rsidRPr="00825948">
        <w:rPr>
          <w:rFonts w:ascii="Arial" w:hAnsi="Arial" w:cs="Arial"/>
          <w:color w:val="000000" w:themeColor="text1"/>
          <w:sz w:val="20"/>
          <w:szCs w:val="20"/>
        </w:rPr>
        <w:t xml:space="preserve"> South Rd., </w:t>
      </w:r>
      <w:proofErr w:type="spellStart"/>
      <w:r w:rsidRPr="00825948">
        <w:rPr>
          <w:rFonts w:ascii="Arial" w:hAnsi="Arial" w:cs="Arial"/>
          <w:color w:val="000000" w:themeColor="text1"/>
          <w:sz w:val="20"/>
          <w:szCs w:val="20"/>
        </w:rPr>
        <w:t>Shapingba</w:t>
      </w:r>
      <w:proofErr w:type="spellEnd"/>
      <w:r w:rsidRPr="00825948">
        <w:rPr>
          <w:rFonts w:ascii="Arial" w:hAnsi="Arial" w:cs="Arial"/>
          <w:color w:val="000000" w:themeColor="text1"/>
          <w:sz w:val="20"/>
          <w:szCs w:val="20"/>
        </w:rPr>
        <w:t>, Chongqing, 401331, China</w:t>
      </w:r>
    </w:p>
    <w:p w14:paraId="05CAB640" w14:textId="77777777" w:rsidR="00825948" w:rsidRPr="00825948" w:rsidRDefault="00825948" w:rsidP="00825948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25948">
        <w:rPr>
          <w:rFonts w:ascii="Arial" w:hAnsi="Arial" w:cs="Arial"/>
          <w:color w:val="000000" w:themeColor="text1"/>
          <w:sz w:val="20"/>
          <w:szCs w:val="20"/>
        </w:rPr>
        <w:t>Tel</w:t>
      </w:r>
      <w:r w:rsidRPr="00825948">
        <w:rPr>
          <w:rFonts w:ascii="Arial" w:hAnsi="Arial" w:cs="Arial" w:hint="eastAsia"/>
          <w:color w:val="000000" w:themeColor="text1"/>
          <w:sz w:val="20"/>
          <w:szCs w:val="20"/>
        </w:rPr>
        <w:t>:</w:t>
      </w:r>
      <w:r w:rsidRPr="00825948">
        <w:rPr>
          <w:rFonts w:ascii="Arial" w:hAnsi="Arial" w:cs="Arial"/>
          <w:color w:val="000000" w:themeColor="text1"/>
          <w:sz w:val="20"/>
          <w:szCs w:val="20"/>
        </w:rPr>
        <w:t xml:space="preserve"> +86-13883077188</w:t>
      </w:r>
    </w:p>
    <w:p w14:paraId="4CBE78C3" w14:textId="77777777" w:rsidR="00A112FF" w:rsidRPr="00B041A0" w:rsidRDefault="00825948" w:rsidP="0082594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25948">
        <w:rPr>
          <w:rFonts w:ascii="Arial" w:hAnsi="Arial" w:cs="Arial"/>
          <w:color w:val="000000" w:themeColor="text1"/>
          <w:sz w:val="20"/>
          <w:szCs w:val="20"/>
        </w:rPr>
        <w:t xml:space="preserve">Email: </w:t>
      </w:r>
      <w:hyperlink r:id="rId9" w:history="1">
        <w:r w:rsidRPr="00825948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znxia@cqu.edu.cn</w:t>
        </w:r>
      </w:hyperlink>
    </w:p>
    <w:p w14:paraId="422B9D91" w14:textId="77777777" w:rsidR="00A112FF" w:rsidRDefault="00A112FF" w:rsidP="00DB7EF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E489D84" w14:textId="77777777" w:rsidR="000D4640" w:rsidRPr="00A112FF" w:rsidRDefault="000D4640" w:rsidP="00DB7EF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2CFA2A0" w14:textId="77777777" w:rsidR="00180E03" w:rsidRPr="00825948" w:rsidRDefault="00180E03" w:rsidP="00DB7EF8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825948">
        <w:rPr>
          <w:rFonts w:ascii="Arial" w:hAnsi="Arial" w:cs="Arial" w:hint="eastAsia"/>
          <w:b/>
          <w:sz w:val="28"/>
          <w:szCs w:val="28"/>
        </w:rPr>
        <w:lastRenderedPageBreak/>
        <w:t>M</w:t>
      </w:r>
      <w:r w:rsidRPr="00825948">
        <w:rPr>
          <w:rFonts w:ascii="Arial" w:hAnsi="Arial" w:cs="Arial"/>
          <w:b/>
          <w:sz w:val="28"/>
          <w:szCs w:val="28"/>
        </w:rPr>
        <w:t>ethod validation</w:t>
      </w:r>
    </w:p>
    <w:p w14:paraId="529EAD83" w14:textId="77777777" w:rsidR="00DB7EF8" w:rsidRPr="00825948" w:rsidRDefault="00DB7EF8" w:rsidP="00DB7EF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25948">
        <w:rPr>
          <w:rFonts w:ascii="Arial" w:hAnsi="Arial" w:cs="Arial"/>
          <w:b/>
          <w:sz w:val="24"/>
          <w:szCs w:val="24"/>
        </w:rPr>
        <w:t>Specificity</w:t>
      </w:r>
    </w:p>
    <w:p w14:paraId="2C736F2E" w14:textId="77777777" w:rsidR="00DB7EF8" w:rsidRPr="00825948" w:rsidRDefault="00DB7EF8" w:rsidP="00DB7EF8">
      <w:pPr>
        <w:spacing w:line="360" w:lineRule="auto"/>
        <w:rPr>
          <w:rFonts w:ascii="Arial" w:hAnsi="Arial" w:cs="Arial"/>
          <w:sz w:val="20"/>
          <w:szCs w:val="20"/>
        </w:rPr>
      </w:pPr>
      <w:r w:rsidRPr="00825948">
        <w:rPr>
          <w:rFonts w:ascii="Arial" w:hAnsi="Arial" w:cs="Arial"/>
          <w:sz w:val="20"/>
          <w:szCs w:val="20"/>
        </w:rPr>
        <w:t>The three groups of blank plasma, blank plasma spiked with curcumin, and the plasma samples after oral administration w</w:t>
      </w:r>
      <w:r w:rsidR="00180E03" w:rsidRPr="00825948">
        <w:rPr>
          <w:rFonts w:ascii="Arial" w:hAnsi="Arial" w:cs="Arial"/>
          <w:sz w:val="20"/>
          <w:szCs w:val="20"/>
        </w:rPr>
        <w:t>ere analyzed by HPLC.</w:t>
      </w:r>
    </w:p>
    <w:p w14:paraId="637D0376" w14:textId="77777777" w:rsidR="00DB7EF8" w:rsidRDefault="00127D0A" w:rsidP="00DB7EF8">
      <w:pPr>
        <w:spacing w:line="360" w:lineRule="auto"/>
      </w:pPr>
      <w:r>
        <w:object w:dxaOrig="7127" w:dyaOrig="4989" w14:anchorId="6A50AE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6.95pt;height:248.95pt" o:ole="">
            <v:imagedata r:id="rId10" o:title=""/>
          </v:shape>
          <o:OLEObject Type="Embed" ProgID="Origin50.Graph" ShapeID="_x0000_i1025" DrawAspect="Content" ObjectID="_1636362744" r:id="rId11"/>
        </w:object>
      </w:r>
    </w:p>
    <w:p w14:paraId="4DFAB835" w14:textId="77777777" w:rsidR="00DB7EF8" w:rsidRPr="000E42D1" w:rsidRDefault="00DB7EF8" w:rsidP="00DB7EF8">
      <w:pPr>
        <w:spacing w:line="360" w:lineRule="auto"/>
        <w:rPr>
          <w:rFonts w:ascii="Arial" w:hAnsi="Arial" w:cs="Arial"/>
          <w:sz w:val="20"/>
          <w:szCs w:val="20"/>
        </w:rPr>
      </w:pPr>
      <w:r w:rsidRPr="000E42D1">
        <w:rPr>
          <w:rFonts w:ascii="Arial" w:hAnsi="Arial" w:cs="Arial"/>
          <w:b/>
          <w:sz w:val="20"/>
          <w:szCs w:val="20"/>
        </w:rPr>
        <w:t>Figure S1</w:t>
      </w:r>
      <w:r w:rsidRPr="000E42D1">
        <w:rPr>
          <w:rFonts w:ascii="Arial" w:hAnsi="Arial" w:cs="Arial"/>
          <w:sz w:val="20"/>
          <w:szCs w:val="20"/>
        </w:rPr>
        <w:t xml:space="preserve"> Representative chromatograms</w:t>
      </w:r>
      <w:r w:rsidR="00D230FC" w:rsidRPr="000E42D1">
        <w:rPr>
          <w:rFonts w:ascii="Arial" w:hAnsi="Arial" w:cs="Arial"/>
          <w:sz w:val="20"/>
          <w:szCs w:val="20"/>
        </w:rPr>
        <w:t xml:space="preserve"> of samples. </w:t>
      </w:r>
      <w:r w:rsidRPr="000E42D1">
        <w:rPr>
          <w:rFonts w:ascii="Arial" w:hAnsi="Arial" w:cs="Arial"/>
          <w:sz w:val="20"/>
          <w:szCs w:val="20"/>
        </w:rPr>
        <w:t xml:space="preserve">(1) </w:t>
      </w:r>
      <w:r w:rsidR="00D230FC" w:rsidRPr="000E42D1">
        <w:rPr>
          <w:rFonts w:ascii="Arial" w:hAnsi="Arial" w:cs="Arial"/>
          <w:sz w:val="20"/>
          <w:szCs w:val="20"/>
        </w:rPr>
        <w:t>T</w:t>
      </w:r>
      <w:r w:rsidRPr="000E42D1">
        <w:rPr>
          <w:rFonts w:ascii="Arial" w:hAnsi="Arial" w:cs="Arial"/>
          <w:sz w:val="20"/>
          <w:szCs w:val="20"/>
        </w:rPr>
        <w:t>he plasma sam</w:t>
      </w:r>
      <w:r w:rsidR="00D230FC" w:rsidRPr="000E42D1">
        <w:rPr>
          <w:rFonts w:ascii="Arial" w:hAnsi="Arial" w:cs="Arial"/>
          <w:sz w:val="20"/>
          <w:szCs w:val="20"/>
        </w:rPr>
        <w:t xml:space="preserve">ples after oral administration. </w:t>
      </w:r>
      <w:r w:rsidRPr="000E42D1">
        <w:rPr>
          <w:rFonts w:ascii="Arial" w:hAnsi="Arial" w:cs="Arial"/>
          <w:sz w:val="20"/>
          <w:szCs w:val="20"/>
        </w:rPr>
        <w:t xml:space="preserve">(2) </w:t>
      </w:r>
      <w:r w:rsidR="00D230FC" w:rsidRPr="000E42D1">
        <w:rPr>
          <w:rFonts w:ascii="Arial" w:hAnsi="Arial" w:cs="Arial"/>
          <w:sz w:val="20"/>
          <w:szCs w:val="20"/>
        </w:rPr>
        <w:t>B</w:t>
      </w:r>
      <w:r w:rsidRPr="000E42D1">
        <w:rPr>
          <w:rFonts w:ascii="Arial" w:hAnsi="Arial" w:cs="Arial"/>
          <w:sz w:val="20"/>
          <w:szCs w:val="20"/>
        </w:rPr>
        <w:t>l</w:t>
      </w:r>
      <w:r w:rsidR="00412F19" w:rsidRPr="000E42D1">
        <w:rPr>
          <w:rFonts w:ascii="Arial" w:hAnsi="Arial" w:cs="Arial"/>
          <w:sz w:val="20"/>
          <w:szCs w:val="20"/>
        </w:rPr>
        <w:t>ank plasma spiked with curcumin.</w:t>
      </w:r>
      <w:r w:rsidRPr="000E42D1">
        <w:rPr>
          <w:rFonts w:ascii="Arial" w:hAnsi="Arial" w:cs="Arial"/>
          <w:sz w:val="20"/>
          <w:szCs w:val="20"/>
        </w:rPr>
        <w:t xml:space="preserve"> (3) </w:t>
      </w:r>
      <w:r w:rsidR="00412F19" w:rsidRPr="000E42D1">
        <w:rPr>
          <w:rFonts w:ascii="Arial" w:hAnsi="Arial" w:cs="Arial"/>
          <w:sz w:val="20"/>
          <w:szCs w:val="20"/>
        </w:rPr>
        <w:t>B</w:t>
      </w:r>
      <w:r w:rsidRPr="000E42D1">
        <w:rPr>
          <w:rFonts w:ascii="Arial" w:hAnsi="Arial" w:cs="Arial"/>
          <w:sz w:val="20"/>
          <w:szCs w:val="20"/>
        </w:rPr>
        <w:t>lank plasma.</w:t>
      </w:r>
    </w:p>
    <w:p w14:paraId="2679AA23" w14:textId="77777777" w:rsidR="00DB7EF8" w:rsidRPr="00825948" w:rsidRDefault="00DB7EF8" w:rsidP="00DB7EF8">
      <w:pPr>
        <w:spacing w:line="360" w:lineRule="auto"/>
        <w:rPr>
          <w:rFonts w:ascii="Arial" w:hAnsi="Arial" w:cs="Arial"/>
          <w:sz w:val="20"/>
          <w:szCs w:val="20"/>
        </w:rPr>
      </w:pPr>
      <w:r w:rsidRPr="00825948">
        <w:rPr>
          <w:rFonts w:ascii="Arial" w:hAnsi="Arial" w:cs="Arial" w:hint="eastAsia"/>
          <w:sz w:val="20"/>
          <w:szCs w:val="20"/>
        </w:rPr>
        <w:t>T</w:t>
      </w:r>
      <w:r w:rsidRPr="00825948">
        <w:rPr>
          <w:rFonts w:ascii="Arial" w:hAnsi="Arial" w:cs="Arial"/>
          <w:sz w:val="20"/>
          <w:szCs w:val="20"/>
        </w:rPr>
        <w:t>he chromatograms of the plasma samples after oral administration, blank plasma spiked with curcumin and blank plasma</w:t>
      </w:r>
      <w:r w:rsidR="004D60A8" w:rsidRPr="00825948">
        <w:rPr>
          <w:rFonts w:ascii="Arial" w:hAnsi="Arial" w:cs="Arial"/>
          <w:sz w:val="20"/>
          <w:szCs w:val="20"/>
        </w:rPr>
        <w:t xml:space="preserve"> were shown</w:t>
      </w:r>
      <w:r w:rsidRPr="00825948">
        <w:rPr>
          <w:rFonts w:ascii="Arial" w:hAnsi="Arial" w:cs="Arial"/>
          <w:sz w:val="20"/>
          <w:szCs w:val="20"/>
        </w:rPr>
        <w:t xml:space="preserve"> in figure</w:t>
      </w:r>
      <w:r w:rsidR="00591B31" w:rsidRPr="00825948">
        <w:rPr>
          <w:rFonts w:ascii="Arial" w:hAnsi="Arial" w:cs="Arial"/>
          <w:sz w:val="20"/>
          <w:szCs w:val="20"/>
        </w:rPr>
        <w:t xml:space="preserve"> S1</w:t>
      </w:r>
      <w:r w:rsidRPr="00825948">
        <w:rPr>
          <w:rFonts w:ascii="Arial" w:hAnsi="Arial" w:cs="Arial"/>
          <w:sz w:val="20"/>
          <w:szCs w:val="20"/>
        </w:rPr>
        <w:t>. The interfering substances were not observed at the retention time of the curcumin in the established chromatographic condition.</w:t>
      </w:r>
    </w:p>
    <w:p w14:paraId="2480D53C" w14:textId="77777777" w:rsidR="00DB7EF8" w:rsidRPr="00825948" w:rsidRDefault="00DB7EF8" w:rsidP="00DB7EF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825948">
        <w:rPr>
          <w:rFonts w:ascii="Arial" w:hAnsi="Arial" w:cs="Arial"/>
          <w:b/>
          <w:sz w:val="20"/>
          <w:szCs w:val="20"/>
        </w:rPr>
        <w:t>Linearity and sensitivity</w:t>
      </w:r>
    </w:p>
    <w:p w14:paraId="7D813470" w14:textId="77777777" w:rsidR="00DB7EF8" w:rsidRPr="00825948" w:rsidRDefault="00DB7EF8" w:rsidP="00DB7EF8">
      <w:pPr>
        <w:spacing w:line="360" w:lineRule="auto"/>
        <w:rPr>
          <w:rFonts w:ascii="Arial" w:hAnsi="Arial" w:cs="Arial"/>
          <w:sz w:val="20"/>
          <w:szCs w:val="20"/>
        </w:rPr>
      </w:pPr>
      <w:r w:rsidRPr="00825948">
        <w:rPr>
          <w:rFonts w:ascii="Arial" w:hAnsi="Arial" w:cs="Arial"/>
          <w:sz w:val="20"/>
          <w:szCs w:val="20"/>
        </w:rPr>
        <w:t xml:space="preserve">200 </w:t>
      </w:r>
      <w:r w:rsidRPr="00825948">
        <w:rPr>
          <w:rFonts w:ascii="DengXian" w:eastAsia="DengXian" w:hAnsi="DengXian" w:cs="Arial" w:hint="eastAsia"/>
          <w:sz w:val="20"/>
          <w:szCs w:val="20"/>
        </w:rPr>
        <w:t>μ</w:t>
      </w:r>
      <w:r w:rsidRPr="00825948">
        <w:rPr>
          <w:rFonts w:ascii="Arial" w:hAnsi="Arial" w:cs="Arial"/>
          <w:sz w:val="20"/>
          <w:szCs w:val="20"/>
        </w:rPr>
        <w:t xml:space="preserve">g/mL of curcumin methanol solution was prepared as original solution and stored at 4 </w:t>
      </w:r>
      <w:r w:rsidRPr="00825948">
        <w:rPr>
          <w:rFonts w:ascii="Microsoft YaHei" w:eastAsia="Microsoft YaHei" w:hAnsi="Microsoft YaHei" w:cs="Microsoft YaHei" w:hint="eastAsia"/>
          <w:sz w:val="20"/>
          <w:szCs w:val="20"/>
        </w:rPr>
        <w:t>℃</w:t>
      </w:r>
      <w:r w:rsidRPr="00825948">
        <w:rPr>
          <w:rFonts w:ascii="Arial" w:eastAsia="SimSun" w:hAnsi="Arial" w:cs="Arial"/>
          <w:sz w:val="20"/>
          <w:szCs w:val="20"/>
        </w:rPr>
        <w:t xml:space="preserve">. </w:t>
      </w:r>
      <w:r w:rsidRPr="00825948">
        <w:rPr>
          <w:rFonts w:ascii="Arial" w:hAnsi="Arial" w:cs="Arial"/>
          <w:sz w:val="20"/>
          <w:szCs w:val="20"/>
        </w:rPr>
        <w:t xml:space="preserve">200 </w:t>
      </w:r>
      <w:proofErr w:type="spellStart"/>
      <w:r w:rsidRPr="00825948">
        <w:rPr>
          <w:rFonts w:ascii="Arial" w:eastAsia="DengXian" w:hAnsi="Arial" w:cs="Arial"/>
          <w:sz w:val="20"/>
          <w:szCs w:val="20"/>
        </w:rPr>
        <w:t>μ</w:t>
      </w:r>
      <w:r w:rsidRPr="00825948">
        <w:rPr>
          <w:rFonts w:ascii="Arial" w:hAnsi="Arial" w:cs="Arial"/>
          <w:sz w:val="20"/>
          <w:szCs w:val="20"/>
        </w:rPr>
        <w:t>L</w:t>
      </w:r>
      <w:proofErr w:type="spellEnd"/>
      <w:r w:rsidRPr="00825948">
        <w:rPr>
          <w:rFonts w:ascii="Arial" w:hAnsi="Arial" w:cs="Arial"/>
          <w:sz w:val="20"/>
          <w:szCs w:val="20"/>
        </w:rPr>
        <w:t xml:space="preserve"> of blank plasma was first pipetted into a 1.5 EP tube. Then curcumin solution was added into tubes to reach the concentration of 12.5, 25, 50, 75, 100, 200, and 400 ng/mL, respectively. Following procedure was the same as “Sample preparation”</w:t>
      </w:r>
      <w:r w:rsidR="00180E03" w:rsidRPr="00825948">
        <w:rPr>
          <w:rFonts w:ascii="Arial" w:hAnsi="Arial" w:cs="Arial"/>
          <w:sz w:val="20"/>
          <w:szCs w:val="20"/>
        </w:rPr>
        <w:t xml:space="preserve"> in </w:t>
      </w:r>
      <w:r w:rsidR="00FB369E" w:rsidRPr="00825948">
        <w:rPr>
          <w:rFonts w:ascii="Arial" w:hAnsi="Arial" w:cs="Arial"/>
          <w:sz w:val="20"/>
          <w:szCs w:val="20"/>
        </w:rPr>
        <w:t xml:space="preserve">method and materials section of </w:t>
      </w:r>
      <w:r w:rsidR="00180E03" w:rsidRPr="00825948">
        <w:rPr>
          <w:rFonts w:ascii="Arial" w:hAnsi="Arial" w:cs="Arial"/>
          <w:sz w:val="20"/>
          <w:szCs w:val="20"/>
        </w:rPr>
        <w:t>the manus</w:t>
      </w:r>
      <w:r w:rsidR="00FB369E" w:rsidRPr="00825948">
        <w:rPr>
          <w:rFonts w:ascii="Arial" w:hAnsi="Arial" w:cs="Arial"/>
          <w:sz w:val="20"/>
          <w:szCs w:val="20"/>
        </w:rPr>
        <w:t>c</w:t>
      </w:r>
      <w:r w:rsidR="00180E03" w:rsidRPr="00825948">
        <w:rPr>
          <w:rFonts w:ascii="Arial" w:hAnsi="Arial" w:cs="Arial"/>
          <w:sz w:val="20"/>
          <w:szCs w:val="20"/>
        </w:rPr>
        <w:t>ript</w:t>
      </w:r>
      <w:r w:rsidRPr="00825948">
        <w:rPr>
          <w:rFonts w:ascii="Arial" w:hAnsi="Arial" w:cs="Arial"/>
          <w:sz w:val="20"/>
          <w:szCs w:val="20"/>
        </w:rPr>
        <w:t>. The calibration curve was constructed by plotting the peak area (Y) and concentrations of the standards (X).</w:t>
      </w:r>
    </w:p>
    <w:p w14:paraId="60C59E21" w14:textId="77777777" w:rsidR="00DB7EF8" w:rsidRPr="00825948" w:rsidRDefault="00DB7EF8" w:rsidP="00DB7EF8">
      <w:pPr>
        <w:spacing w:line="360" w:lineRule="auto"/>
        <w:rPr>
          <w:rFonts w:ascii="Arial" w:hAnsi="Arial" w:cs="Arial"/>
          <w:sz w:val="20"/>
          <w:szCs w:val="20"/>
        </w:rPr>
      </w:pPr>
      <w:r w:rsidRPr="00825948">
        <w:rPr>
          <w:rFonts w:ascii="Arial" w:hAnsi="Arial" w:cs="Arial"/>
          <w:sz w:val="20"/>
          <w:szCs w:val="20"/>
        </w:rPr>
        <w:t>The</w:t>
      </w:r>
      <w:r w:rsidR="009E50A1" w:rsidRPr="00825948">
        <w:rPr>
          <w:rFonts w:ascii="Arial" w:hAnsi="Arial" w:cs="Arial"/>
          <w:sz w:val="20"/>
          <w:szCs w:val="20"/>
        </w:rPr>
        <w:t xml:space="preserve"> lower</w:t>
      </w:r>
      <w:r w:rsidRPr="00825948">
        <w:rPr>
          <w:rFonts w:ascii="Arial" w:hAnsi="Arial" w:cs="Arial"/>
          <w:sz w:val="20"/>
          <w:szCs w:val="20"/>
        </w:rPr>
        <w:t xml:space="preserve"> limit of quantification (L</w:t>
      </w:r>
      <w:r w:rsidR="009E50A1" w:rsidRPr="00825948">
        <w:rPr>
          <w:rFonts w:ascii="Arial" w:hAnsi="Arial" w:cs="Arial"/>
          <w:sz w:val="20"/>
          <w:szCs w:val="20"/>
        </w:rPr>
        <w:t>L</w:t>
      </w:r>
      <w:r w:rsidRPr="00825948">
        <w:rPr>
          <w:rFonts w:ascii="Arial" w:hAnsi="Arial" w:cs="Arial"/>
          <w:sz w:val="20"/>
          <w:szCs w:val="20"/>
        </w:rPr>
        <w:t xml:space="preserve">OQ) was detected at the lowest concentration of the calibration curve with signal-to-noise ratio (S/N) of 10:1. The </w:t>
      </w:r>
      <w:r w:rsidR="009E50A1" w:rsidRPr="00825948">
        <w:rPr>
          <w:rFonts w:ascii="Arial" w:hAnsi="Arial" w:cs="Arial"/>
          <w:sz w:val="20"/>
          <w:szCs w:val="20"/>
        </w:rPr>
        <w:t xml:space="preserve">lower </w:t>
      </w:r>
      <w:r w:rsidRPr="00825948">
        <w:rPr>
          <w:rFonts w:ascii="Arial" w:hAnsi="Arial" w:cs="Arial"/>
          <w:sz w:val="20"/>
          <w:szCs w:val="20"/>
        </w:rPr>
        <w:t>limit of detection (L</w:t>
      </w:r>
      <w:r w:rsidR="009E50A1" w:rsidRPr="00825948">
        <w:rPr>
          <w:rFonts w:ascii="Arial" w:hAnsi="Arial" w:cs="Arial"/>
          <w:sz w:val="20"/>
          <w:szCs w:val="20"/>
        </w:rPr>
        <w:t>L</w:t>
      </w:r>
      <w:r w:rsidRPr="00825948">
        <w:rPr>
          <w:rFonts w:ascii="Arial" w:hAnsi="Arial" w:cs="Arial"/>
          <w:sz w:val="20"/>
          <w:szCs w:val="20"/>
        </w:rPr>
        <w:t xml:space="preserve">OD) </w:t>
      </w:r>
      <w:r w:rsidRPr="00825948">
        <w:rPr>
          <w:rFonts w:ascii="Arial" w:hAnsi="Arial" w:cs="Arial"/>
          <w:sz w:val="20"/>
          <w:szCs w:val="20"/>
        </w:rPr>
        <w:lastRenderedPageBreak/>
        <w:t>was determined as the lowest concentration level in 3:1 of S/N.</w:t>
      </w:r>
    </w:p>
    <w:p w14:paraId="18503221" w14:textId="77777777" w:rsidR="00DB7EF8" w:rsidRPr="00825948" w:rsidRDefault="00DB7EF8" w:rsidP="00DB7EF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825948">
        <w:rPr>
          <w:rFonts w:ascii="Arial" w:hAnsi="Arial" w:cs="Arial"/>
          <w:b/>
          <w:sz w:val="20"/>
          <w:szCs w:val="20"/>
        </w:rPr>
        <w:t>Extraction recovery</w:t>
      </w:r>
    </w:p>
    <w:p w14:paraId="579FE32B" w14:textId="77777777" w:rsidR="00E65E3A" w:rsidRDefault="00DB7EF8" w:rsidP="00DB7EF8">
      <w:pPr>
        <w:spacing w:line="360" w:lineRule="auto"/>
        <w:rPr>
          <w:rFonts w:ascii="Arial" w:hAnsi="Arial" w:cs="Arial"/>
          <w:sz w:val="20"/>
          <w:szCs w:val="20"/>
        </w:rPr>
      </w:pPr>
      <w:r w:rsidRPr="00825948">
        <w:rPr>
          <w:rFonts w:ascii="Arial" w:hAnsi="Arial" w:cs="Arial" w:hint="eastAsia"/>
          <w:sz w:val="20"/>
          <w:szCs w:val="20"/>
        </w:rPr>
        <w:t>T</w:t>
      </w:r>
      <w:r w:rsidRPr="00825948">
        <w:rPr>
          <w:rFonts w:ascii="Arial" w:hAnsi="Arial" w:cs="Arial"/>
          <w:sz w:val="20"/>
          <w:szCs w:val="20"/>
        </w:rPr>
        <w:t>he mean extraction recovery rate of curcumin at low, medium, a</w:t>
      </w:r>
      <w:r w:rsidR="009A5E34" w:rsidRPr="00825948">
        <w:rPr>
          <w:rFonts w:ascii="Arial" w:hAnsi="Arial" w:cs="Arial"/>
          <w:sz w:val="20"/>
          <w:szCs w:val="20"/>
        </w:rPr>
        <w:t>n</w:t>
      </w:r>
      <w:r w:rsidR="004D60A8" w:rsidRPr="00825948">
        <w:rPr>
          <w:rFonts w:ascii="Arial" w:hAnsi="Arial" w:cs="Arial"/>
          <w:sz w:val="20"/>
          <w:szCs w:val="20"/>
        </w:rPr>
        <w:t>d high concentrations was shown</w:t>
      </w:r>
      <w:r w:rsidRPr="00825948">
        <w:rPr>
          <w:rFonts w:ascii="Arial" w:hAnsi="Arial" w:cs="Arial"/>
          <w:sz w:val="20"/>
          <w:szCs w:val="20"/>
        </w:rPr>
        <w:t xml:space="preserve"> in Table</w:t>
      </w:r>
      <w:r w:rsidR="00E65E3A">
        <w:rPr>
          <w:rFonts w:ascii="Arial" w:hAnsi="Arial" w:cs="Arial"/>
          <w:sz w:val="20"/>
          <w:szCs w:val="20"/>
        </w:rPr>
        <w:t xml:space="preserve"> S1</w:t>
      </w:r>
      <w:r w:rsidRPr="00825948">
        <w:rPr>
          <w:rFonts w:ascii="Arial" w:hAnsi="Arial" w:cs="Arial"/>
          <w:sz w:val="20"/>
          <w:szCs w:val="20"/>
        </w:rPr>
        <w:t>. The result</w:t>
      </w:r>
      <w:r w:rsidR="009A5E34" w:rsidRPr="00825948">
        <w:rPr>
          <w:rFonts w:ascii="Arial" w:hAnsi="Arial" w:cs="Arial"/>
          <w:sz w:val="20"/>
          <w:szCs w:val="20"/>
        </w:rPr>
        <w:t>s</w:t>
      </w:r>
      <w:r w:rsidRPr="00825948">
        <w:rPr>
          <w:rFonts w:ascii="Arial" w:hAnsi="Arial" w:cs="Arial"/>
          <w:sz w:val="20"/>
          <w:szCs w:val="20"/>
        </w:rPr>
        <w:t xml:space="preserve"> met the demand of concentration determination of curcumin.</w:t>
      </w:r>
    </w:p>
    <w:p w14:paraId="2BDAD7E4" w14:textId="77777777" w:rsidR="00DB7EF8" w:rsidRPr="00825948" w:rsidRDefault="00DB7EF8" w:rsidP="00DB7EF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825948">
        <w:rPr>
          <w:rFonts w:ascii="Arial" w:hAnsi="Arial" w:cs="Arial"/>
          <w:b/>
          <w:sz w:val="20"/>
          <w:szCs w:val="20"/>
        </w:rPr>
        <w:t xml:space="preserve">Table </w:t>
      </w:r>
      <w:r w:rsidRPr="00825948">
        <w:rPr>
          <w:rFonts w:ascii="Arial" w:hAnsi="Arial" w:cs="Arial" w:hint="eastAsia"/>
          <w:b/>
          <w:sz w:val="20"/>
          <w:szCs w:val="20"/>
        </w:rPr>
        <w:t>S1</w:t>
      </w:r>
      <w:r w:rsidRPr="00E65E3A">
        <w:rPr>
          <w:rFonts w:ascii="Arial" w:hAnsi="Arial" w:cs="Arial"/>
          <w:sz w:val="20"/>
          <w:szCs w:val="20"/>
        </w:rPr>
        <w:t xml:space="preserve"> Extraction recovery rate </w:t>
      </w:r>
      <w:r w:rsidR="001071AC" w:rsidRPr="00E65E3A">
        <w:rPr>
          <w:rFonts w:ascii="Arial" w:hAnsi="Arial" w:cs="Arial"/>
          <w:sz w:val="20"/>
          <w:szCs w:val="20"/>
        </w:rPr>
        <w:t>of curcumin in rat plasma (n=6)</w:t>
      </w:r>
    </w:p>
    <w:tbl>
      <w:tblPr>
        <w:tblW w:w="4980" w:type="dxa"/>
        <w:tblLook w:val="04A0" w:firstRow="1" w:lastRow="0" w:firstColumn="1" w:lastColumn="0" w:noHBand="0" w:noVBand="1"/>
      </w:tblPr>
      <w:tblGrid>
        <w:gridCol w:w="1660"/>
        <w:gridCol w:w="2094"/>
        <w:gridCol w:w="1226"/>
      </w:tblGrid>
      <w:tr w:rsidR="00DB7EF8" w:rsidRPr="00825948" w14:paraId="17E2D1E6" w14:textId="77777777" w:rsidTr="008D3F94">
        <w:trPr>
          <w:trHeight w:val="840"/>
        </w:trPr>
        <w:tc>
          <w:tcPr>
            <w:tcW w:w="1660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599158E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Spiked curcumin concentration</w:t>
            </w: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br/>
              <w:t>(ng/mL)</w:t>
            </w:r>
          </w:p>
        </w:tc>
        <w:tc>
          <w:tcPr>
            <w:tcW w:w="33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CA640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Extraction recovery</w:t>
            </w:r>
          </w:p>
        </w:tc>
      </w:tr>
      <w:tr w:rsidR="00DB7EF8" w:rsidRPr="00825948" w14:paraId="7167BB17" w14:textId="77777777" w:rsidTr="008D3F94">
        <w:trPr>
          <w:trHeight w:val="300"/>
        </w:trPr>
        <w:tc>
          <w:tcPr>
            <w:tcW w:w="1660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39B2690" w14:textId="77777777" w:rsidR="00DB7EF8" w:rsidRPr="00825948" w:rsidRDefault="00DB7EF8" w:rsidP="008D3F9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3637E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mean ± SD (%)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C91F2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RSD (%)</w:t>
            </w:r>
          </w:p>
        </w:tc>
      </w:tr>
      <w:tr w:rsidR="00DB7EF8" w:rsidRPr="00825948" w14:paraId="4E3B1309" w14:textId="77777777" w:rsidTr="008D3F94">
        <w:trPr>
          <w:trHeight w:val="29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5AD1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C857" w14:textId="77777777" w:rsidR="00DB7EF8" w:rsidRPr="00825948" w:rsidRDefault="00B93CD1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88.3±4.6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5EDD" w14:textId="77777777" w:rsidR="00DB7EF8" w:rsidRPr="00825948" w:rsidRDefault="00B93CD1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5.2</w:t>
            </w:r>
          </w:p>
        </w:tc>
      </w:tr>
      <w:tr w:rsidR="00DB7EF8" w:rsidRPr="00825948" w14:paraId="46BA4436" w14:textId="77777777" w:rsidTr="008D3F94">
        <w:trPr>
          <w:trHeight w:val="28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61670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9C2E" w14:textId="77777777" w:rsidR="00DB7EF8" w:rsidRPr="00825948" w:rsidRDefault="00B93CD1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103.4±3.5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7436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3.4</w:t>
            </w:r>
          </w:p>
        </w:tc>
      </w:tr>
      <w:tr w:rsidR="00DB7EF8" w:rsidRPr="00825948" w14:paraId="4960EC6A" w14:textId="77777777" w:rsidTr="00351D87">
        <w:trPr>
          <w:trHeight w:val="193"/>
        </w:trPr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7AA8C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6C261" w14:textId="77777777" w:rsidR="00DB7EF8" w:rsidRPr="00825948" w:rsidRDefault="00B93CD1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99.7±2.2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BF774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2.2</w:t>
            </w:r>
          </w:p>
        </w:tc>
      </w:tr>
    </w:tbl>
    <w:p w14:paraId="265A7F18" w14:textId="77777777" w:rsidR="00A26EB6" w:rsidRPr="00825948" w:rsidRDefault="00351D87" w:rsidP="00351D87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25948">
        <w:rPr>
          <w:rFonts w:ascii="Arial" w:hAnsi="Arial" w:cs="Arial"/>
          <w:b/>
          <w:color w:val="000000" w:themeColor="text1"/>
          <w:sz w:val="20"/>
          <w:szCs w:val="20"/>
        </w:rPr>
        <w:t xml:space="preserve">Abbreviations: </w:t>
      </w:r>
      <w:r w:rsidRPr="00825948">
        <w:rPr>
          <w:rFonts w:ascii="Arial" w:hAnsi="Arial" w:cs="Arial"/>
          <w:color w:val="000000" w:themeColor="text1"/>
          <w:sz w:val="20"/>
          <w:szCs w:val="20"/>
        </w:rPr>
        <w:t>SD, standard deviation; RSD, relative standard deviation.</w:t>
      </w:r>
    </w:p>
    <w:p w14:paraId="78CA745D" w14:textId="77777777" w:rsidR="00DB7EF8" w:rsidRPr="00825948" w:rsidRDefault="00DB7EF8" w:rsidP="00DB7EF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825948">
        <w:rPr>
          <w:rFonts w:ascii="Arial" w:hAnsi="Arial" w:cs="Arial"/>
          <w:b/>
          <w:sz w:val="20"/>
          <w:szCs w:val="20"/>
        </w:rPr>
        <w:t>Precision and accuracy</w:t>
      </w:r>
    </w:p>
    <w:p w14:paraId="09DEF9EB" w14:textId="77777777" w:rsidR="00A26EB6" w:rsidRPr="00825948" w:rsidRDefault="003C13C2" w:rsidP="00DB7EF8">
      <w:pPr>
        <w:spacing w:line="360" w:lineRule="auto"/>
        <w:rPr>
          <w:rFonts w:ascii="Arial" w:hAnsi="Arial" w:cs="Arial"/>
          <w:sz w:val="20"/>
          <w:szCs w:val="20"/>
        </w:rPr>
      </w:pPr>
      <w:r w:rsidRPr="00825948">
        <w:rPr>
          <w:rFonts w:ascii="Arial" w:hAnsi="Arial" w:cs="Arial"/>
          <w:sz w:val="20"/>
          <w:szCs w:val="20"/>
        </w:rPr>
        <w:t>Precision</w:t>
      </w:r>
      <w:r w:rsidR="00DB7EF8" w:rsidRPr="00825948">
        <w:rPr>
          <w:rFonts w:ascii="Arial" w:hAnsi="Arial" w:cs="Arial"/>
          <w:sz w:val="20"/>
          <w:szCs w:val="20"/>
        </w:rPr>
        <w:t xml:space="preserve"> and </w:t>
      </w:r>
      <w:r w:rsidRPr="00825948">
        <w:rPr>
          <w:rFonts w:ascii="Arial" w:hAnsi="Arial" w:cs="Arial"/>
          <w:sz w:val="20"/>
          <w:szCs w:val="20"/>
        </w:rPr>
        <w:t xml:space="preserve">accuracy </w:t>
      </w:r>
      <w:r w:rsidR="00DB7EF8" w:rsidRPr="00825948">
        <w:rPr>
          <w:rFonts w:ascii="Arial" w:hAnsi="Arial" w:cs="Arial"/>
          <w:sz w:val="20"/>
          <w:szCs w:val="20"/>
        </w:rPr>
        <w:t xml:space="preserve">were evaluated by determining the Cur samples at 50, 200 and 400 ng/mL in five replicates on the same day. Inter-day accuracy and precision were detected by </w:t>
      </w:r>
      <w:r w:rsidR="004D60A8" w:rsidRPr="00825948">
        <w:rPr>
          <w:rFonts w:ascii="Arial" w:hAnsi="Arial" w:cs="Arial"/>
          <w:sz w:val="20"/>
          <w:szCs w:val="20"/>
        </w:rPr>
        <w:t xml:space="preserve">repeated analysis of the three </w:t>
      </w:r>
      <w:r w:rsidR="00DB7EF8" w:rsidRPr="00825948">
        <w:rPr>
          <w:rFonts w:ascii="Arial" w:hAnsi="Arial" w:cs="Arial"/>
          <w:sz w:val="20"/>
          <w:szCs w:val="20"/>
        </w:rPr>
        <w:t xml:space="preserve">mentioned concentration of Cur samples for five consecutive days. The concentrations of these samples were obtained from the calibration curves. </w:t>
      </w:r>
    </w:p>
    <w:p w14:paraId="4A264FA9" w14:textId="77777777" w:rsidR="00DB7EF8" w:rsidRPr="000E42D1" w:rsidRDefault="00DB7EF8" w:rsidP="00DB7EF8">
      <w:pPr>
        <w:spacing w:line="360" w:lineRule="auto"/>
        <w:rPr>
          <w:rFonts w:ascii="Arial" w:hAnsi="Arial" w:cs="Arial"/>
          <w:sz w:val="20"/>
          <w:szCs w:val="20"/>
        </w:rPr>
      </w:pPr>
      <w:r w:rsidRPr="00825948">
        <w:rPr>
          <w:rFonts w:ascii="Arial" w:hAnsi="Arial" w:cs="Arial" w:hint="eastAsia"/>
          <w:b/>
          <w:sz w:val="20"/>
          <w:szCs w:val="20"/>
        </w:rPr>
        <w:t>T</w:t>
      </w:r>
      <w:r w:rsidRPr="00825948">
        <w:rPr>
          <w:rFonts w:ascii="Arial" w:hAnsi="Arial" w:cs="Arial"/>
          <w:b/>
          <w:sz w:val="20"/>
          <w:szCs w:val="20"/>
        </w:rPr>
        <w:t>able</w:t>
      </w:r>
      <w:r w:rsidR="004D60A8" w:rsidRPr="00825948">
        <w:rPr>
          <w:rFonts w:ascii="Arial" w:hAnsi="Arial" w:cs="Arial"/>
          <w:b/>
          <w:sz w:val="20"/>
          <w:szCs w:val="20"/>
        </w:rPr>
        <w:t xml:space="preserve"> S2</w:t>
      </w:r>
      <w:r w:rsidR="008D4801" w:rsidRPr="00825948">
        <w:rPr>
          <w:rFonts w:ascii="Arial" w:hAnsi="Arial" w:cs="Arial"/>
          <w:b/>
          <w:sz w:val="20"/>
          <w:szCs w:val="20"/>
        </w:rPr>
        <w:t>.</w:t>
      </w:r>
      <w:r w:rsidRPr="00825948">
        <w:rPr>
          <w:rFonts w:ascii="Arial" w:hAnsi="Arial" w:cs="Arial"/>
          <w:b/>
          <w:sz w:val="20"/>
          <w:szCs w:val="20"/>
        </w:rPr>
        <w:t xml:space="preserve"> </w:t>
      </w:r>
      <w:r w:rsidRPr="000E42D1">
        <w:rPr>
          <w:rFonts w:ascii="Arial" w:hAnsi="Arial" w:cs="Arial"/>
          <w:sz w:val="20"/>
          <w:szCs w:val="20"/>
        </w:rPr>
        <w:t>Within-day and inter-day precision and accuracy for th</w:t>
      </w:r>
      <w:r w:rsidR="001071AC" w:rsidRPr="000E42D1">
        <w:rPr>
          <w:rFonts w:ascii="Arial" w:hAnsi="Arial" w:cs="Arial"/>
          <w:sz w:val="20"/>
          <w:szCs w:val="20"/>
        </w:rPr>
        <w:t>e measure of the curcumin (n=5)</w:t>
      </w:r>
    </w:p>
    <w:tbl>
      <w:tblPr>
        <w:tblW w:w="9533" w:type="dxa"/>
        <w:tblLook w:val="04A0" w:firstRow="1" w:lastRow="0" w:firstColumn="1" w:lastColumn="0" w:noHBand="0" w:noVBand="1"/>
      </w:tblPr>
      <w:tblGrid>
        <w:gridCol w:w="1878"/>
        <w:gridCol w:w="1674"/>
        <w:gridCol w:w="767"/>
        <w:gridCol w:w="718"/>
        <w:gridCol w:w="718"/>
        <w:gridCol w:w="1820"/>
        <w:gridCol w:w="522"/>
        <w:gridCol w:w="718"/>
        <w:gridCol w:w="718"/>
      </w:tblGrid>
      <w:tr w:rsidR="00DB7EF8" w:rsidRPr="00825948" w14:paraId="42232628" w14:textId="77777777" w:rsidTr="008D4801">
        <w:trPr>
          <w:trHeight w:val="580"/>
        </w:trPr>
        <w:tc>
          <w:tcPr>
            <w:tcW w:w="18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AF570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Nominal curcumin</w:t>
            </w: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br/>
              <w:t>concentration</w:t>
            </w:r>
          </w:p>
        </w:tc>
        <w:tc>
          <w:tcPr>
            <w:tcW w:w="387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AADF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Within-day</w:t>
            </w:r>
          </w:p>
        </w:tc>
        <w:tc>
          <w:tcPr>
            <w:tcW w:w="377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5F70B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Inter-day</w:t>
            </w:r>
          </w:p>
        </w:tc>
      </w:tr>
      <w:tr w:rsidR="00DB7EF8" w:rsidRPr="00825948" w14:paraId="20E547A8" w14:textId="77777777" w:rsidTr="008D4801">
        <w:trPr>
          <w:trHeight w:val="290"/>
        </w:trPr>
        <w:tc>
          <w:tcPr>
            <w:tcW w:w="18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B991B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ng/mL</w:t>
            </w:r>
          </w:p>
        </w:tc>
        <w:tc>
          <w:tcPr>
            <w:tcW w:w="16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9312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Mean (ng/mL)</w:t>
            </w:r>
          </w:p>
        </w:tc>
        <w:tc>
          <w:tcPr>
            <w:tcW w:w="76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019D2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SD</w:t>
            </w:r>
          </w:p>
        </w:tc>
        <w:tc>
          <w:tcPr>
            <w:tcW w:w="71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3F90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CV%</w:t>
            </w:r>
          </w:p>
        </w:tc>
        <w:tc>
          <w:tcPr>
            <w:tcW w:w="71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72F2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07CAA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Mean (ng/mL)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5BEC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SD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6897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CV%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4C5D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RE%</w:t>
            </w:r>
          </w:p>
        </w:tc>
      </w:tr>
      <w:tr w:rsidR="00DB7EF8" w:rsidRPr="00825948" w14:paraId="1E3A559E" w14:textId="77777777" w:rsidTr="008D4801">
        <w:trPr>
          <w:trHeight w:val="280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B088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50.0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3033C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51.5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E69E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2.0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22B9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3.8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3FF8D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6.8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B73D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50.3 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7207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2.3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72B3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4.5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161E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4.3 </w:t>
            </w:r>
          </w:p>
        </w:tc>
      </w:tr>
      <w:tr w:rsidR="00DB7EF8" w:rsidRPr="00825948" w14:paraId="60627827" w14:textId="77777777" w:rsidTr="008D4801">
        <w:trPr>
          <w:trHeight w:val="280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34446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200.0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EFBE9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182.2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E240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2.2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8B77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1.2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2261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-5.2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CE62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178.9 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7C11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7.8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5265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4.3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CBB3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-6.8 </w:t>
            </w:r>
          </w:p>
        </w:tc>
      </w:tr>
      <w:tr w:rsidR="00DB7EF8" w:rsidRPr="00825948" w14:paraId="2F66981A" w14:textId="77777777" w:rsidTr="008D4801">
        <w:trPr>
          <w:trHeight w:val="290"/>
        </w:trPr>
        <w:tc>
          <w:tcPr>
            <w:tcW w:w="18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8601D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400.0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BFA40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363.0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C2832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175.6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EA974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1.3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7B62F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-5.5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50A41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361.4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75015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6.0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801C2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1.7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837F0" w14:textId="77777777" w:rsidR="00DB7EF8" w:rsidRPr="00825948" w:rsidRDefault="00DB7EF8" w:rsidP="008D3F94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2594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-5.9 </w:t>
            </w:r>
          </w:p>
        </w:tc>
      </w:tr>
    </w:tbl>
    <w:p w14:paraId="0DE5F3D7" w14:textId="77777777" w:rsidR="008D4801" w:rsidRPr="00825948" w:rsidRDefault="008D4801" w:rsidP="008D4801">
      <w:pPr>
        <w:spacing w:line="360" w:lineRule="auto"/>
        <w:rPr>
          <w:rFonts w:ascii="Arial" w:hAnsi="Arial" w:cs="Arial"/>
          <w:sz w:val="20"/>
          <w:szCs w:val="20"/>
        </w:rPr>
      </w:pPr>
      <w:r w:rsidRPr="00825948">
        <w:rPr>
          <w:rFonts w:ascii="Arial" w:hAnsi="Arial" w:cs="Arial"/>
          <w:b/>
          <w:color w:val="000000" w:themeColor="text1"/>
          <w:sz w:val="20"/>
          <w:szCs w:val="20"/>
        </w:rPr>
        <w:t xml:space="preserve">Abbreviations: </w:t>
      </w:r>
      <w:r w:rsidRPr="00825948">
        <w:rPr>
          <w:rFonts w:ascii="Arial" w:hAnsi="Arial" w:cs="Arial"/>
          <w:color w:val="000000" w:themeColor="text1"/>
          <w:sz w:val="20"/>
          <w:szCs w:val="20"/>
        </w:rPr>
        <w:t>SD, standard deviation; CV, coefficient of variance; RE, relative error.</w:t>
      </w:r>
    </w:p>
    <w:p w14:paraId="49C84324" w14:textId="77777777" w:rsidR="008D4801" w:rsidRPr="00825948" w:rsidRDefault="008D4801" w:rsidP="00DB7EF8">
      <w:pPr>
        <w:spacing w:line="360" w:lineRule="auto"/>
        <w:rPr>
          <w:rFonts w:ascii="Arial" w:hAnsi="Arial" w:cs="Arial"/>
          <w:sz w:val="20"/>
          <w:szCs w:val="20"/>
        </w:rPr>
      </w:pPr>
    </w:p>
    <w:p w14:paraId="22C49339" w14:textId="77777777" w:rsidR="003C1528" w:rsidRPr="008F28F7" w:rsidRDefault="00DB7EF8" w:rsidP="008F28F7">
      <w:pPr>
        <w:spacing w:line="360" w:lineRule="auto"/>
        <w:rPr>
          <w:rFonts w:ascii="Arial" w:hAnsi="Arial" w:cs="Arial"/>
          <w:sz w:val="20"/>
          <w:szCs w:val="20"/>
        </w:rPr>
      </w:pPr>
      <w:r w:rsidRPr="00825948">
        <w:rPr>
          <w:rFonts w:ascii="Arial" w:hAnsi="Arial" w:cs="Arial" w:hint="eastAsia"/>
          <w:sz w:val="20"/>
          <w:szCs w:val="20"/>
        </w:rPr>
        <w:t>T</w:t>
      </w:r>
      <w:r w:rsidRPr="00825948">
        <w:rPr>
          <w:rFonts w:ascii="Arial" w:hAnsi="Arial" w:cs="Arial"/>
          <w:sz w:val="20"/>
          <w:szCs w:val="20"/>
        </w:rPr>
        <w:t>he precision and accurac</w:t>
      </w:r>
      <w:r w:rsidR="00180E03" w:rsidRPr="00825948">
        <w:rPr>
          <w:rFonts w:ascii="Arial" w:hAnsi="Arial" w:cs="Arial"/>
          <w:sz w:val="20"/>
          <w:szCs w:val="20"/>
        </w:rPr>
        <w:t>y</w:t>
      </w:r>
      <w:r w:rsidR="00E44BAD" w:rsidRPr="00825948">
        <w:rPr>
          <w:rFonts w:ascii="Arial" w:hAnsi="Arial" w:cs="Arial"/>
          <w:sz w:val="20"/>
          <w:szCs w:val="20"/>
        </w:rPr>
        <w:t xml:space="preserve"> of curcumin samples were show</w:t>
      </w:r>
      <w:r w:rsidR="004D60A8" w:rsidRPr="00825948">
        <w:rPr>
          <w:rFonts w:ascii="Arial" w:hAnsi="Arial" w:cs="Arial"/>
          <w:sz w:val="20"/>
          <w:szCs w:val="20"/>
        </w:rPr>
        <w:t>n</w:t>
      </w:r>
      <w:r w:rsidRPr="00825948">
        <w:rPr>
          <w:rFonts w:ascii="Arial" w:hAnsi="Arial" w:cs="Arial"/>
          <w:sz w:val="20"/>
          <w:szCs w:val="20"/>
        </w:rPr>
        <w:t xml:space="preserve"> in Table </w:t>
      </w:r>
      <w:r w:rsidRPr="00825948">
        <w:rPr>
          <w:rFonts w:ascii="Arial" w:hAnsi="Arial" w:cs="Arial" w:hint="eastAsia"/>
          <w:sz w:val="20"/>
          <w:szCs w:val="20"/>
        </w:rPr>
        <w:t>S2</w:t>
      </w:r>
      <w:r w:rsidRPr="00825948">
        <w:rPr>
          <w:rFonts w:ascii="Arial" w:hAnsi="Arial" w:cs="Arial"/>
          <w:sz w:val="20"/>
          <w:szCs w:val="20"/>
        </w:rPr>
        <w:t>. The within-day precision (CV) was 1.2%-3.8%, and the accuracy (RE) was -5.5%- 8.8%. The inter-day precision (CV) was 1.7%-4.5%, and the accuracy (RE) was -6.8%- 4.3%. The CV of both the within-day and inter-day precision were less than 15 %, and the RE of accuracy was with the range of -15% to 15%. Therefore, the results indicate that the method has good precision and accuracy.</w:t>
      </w:r>
    </w:p>
    <w:sectPr w:rsidR="003C1528" w:rsidRPr="008F2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FAD73" w14:textId="77777777" w:rsidR="00CD1981" w:rsidRDefault="00CD1981" w:rsidP="00180E03">
      <w:r>
        <w:separator/>
      </w:r>
    </w:p>
  </w:endnote>
  <w:endnote w:type="continuationSeparator" w:id="0">
    <w:p w14:paraId="0A8F4F50" w14:textId="77777777" w:rsidR="00CD1981" w:rsidRDefault="00CD1981" w:rsidP="0018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979E4" w14:textId="77777777" w:rsidR="00CD1981" w:rsidRDefault="00CD1981" w:rsidP="00180E03">
      <w:r>
        <w:separator/>
      </w:r>
    </w:p>
  </w:footnote>
  <w:footnote w:type="continuationSeparator" w:id="0">
    <w:p w14:paraId="4DCBEAEE" w14:textId="77777777" w:rsidR="00CD1981" w:rsidRDefault="00CD1981" w:rsidP="00180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EF8"/>
    <w:rsid w:val="0000458B"/>
    <w:rsid w:val="00015160"/>
    <w:rsid w:val="00073900"/>
    <w:rsid w:val="000D3200"/>
    <w:rsid w:val="000D4640"/>
    <w:rsid w:val="000D5062"/>
    <w:rsid w:val="000E42D1"/>
    <w:rsid w:val="001071AC"/>
    <w:rsid w:val="0011766D"/>
    <w:rsid w:val="00127D0A"/>
    <w:rsid w:val="00180E03"/>
    <w:rsid w:val="001A49A5"/>
    <w:rsid w:val="001F3314"/>
    <w:rsid w:val="00351D87"/>
    <w:rsid w:val="0035350F"/>
    <w:rsid w:val="00355754"/>
    <w:rsid w:val="003C13C2"/>
    <w:rsid w:val="003C1528"/>
    <w:rsid w:val="00406AE3"/>
    <w:rsid w:val="00412F19"/>
    <w:rsid w:val="004A07DC"/>
    <w:rsid w:val="004D60A8"/>
    <w:rsid w:val="004E769A"/>
    <w:rsid w:val="00591B31"/>
    <w:rsid w:val="005C5413"/>
    <w:rsid w:val="00825948"/>
    <w:rsid w:val="008B7605"/>
    <w:rsid w:val="008D4801"/>
    <w:rsid w:val="008F28F7"/>
    <w:rsid w:val="009A5E34"/>
    <w:rsid w:val="009B43EC"/>
    <w:rsid w:val="009E50A1"/>
    <w:rsid w:val="00A112FF"/>
    <w:rsid w:val="00A26EB6"/>
    <w:rsid w:val="00A70EEA"/>
    <w:rsid w:val="00B041A0"/>
    <w:rsid w:val="00B75FAF"/>
    <w:rsid w:val="00B93CD1"/>
    <w:rsid w:val="00C151FE"/>
    <w:rsid w:val="00CD1981"/>
    <w:rsid w:val="00D230FC"/>
    <w:rsid w:val="00D5568A"/>
    <w:rsid w:val="00DB7EF8"/>
    <w:rsid w:val="00E44BAD"/>
    <w:rsid w:val="00E65E3A"/>
    <w:rsid w:val="00EA2765"/>
    <w:rsid w:val="00FB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4635F5"/>
  <w15:chartTrackingRefBased/>
  <w15:docId w15:val="{F6110AE3-9AE4-4B4D-AA29-B7F79993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7EF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80E0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80E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80E03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112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mailto:znxia@cq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0" ma:contentTypeDescription="Create a new document." ma:contentTypeScope="" ma:versionID="9b949b524a923482e8a77a5600b5b81e">
  <xsd:schema xmlns:xsd="http://www.w3.org/2001/XMLSchema" xmlns:xs="http://www.w3.org/2001/XMLSchema" xmlns:p="http://schemas.microsoft.com/office/2006/metadata/properties" xmlns:ns3="3cb5a929-a351-4e0f-b46b-be99a4aa8e8c" targetNamespace="http://schemas.microsoft.com/office/2006/metadata/properties" ma:root="true" ma:fieldsID="5ea63e8227b2a33ff22424fb13af1106" ns3:_="">
    <xsd:import namespace="3cb5a929-a351-4e0f-b46b-be99a4aa8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1A9F4-7F09-411D-BAC9-1F95279CC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3614DB-AA0B-4823-935E-E6EA2532E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EC4D9C-C539-4829-8570-519AE373DA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Tania Olliver</cp:lastModifiedBy>
  <cp:revision>2</cp:revision>
  <dcterms:created xsi:type="dcterms:W3CDTF">2019-11-26T23:26:00Z</dcterms:created>
  <dcterms:modified xsi:type="dcterms:W3CDTF">2019-11-26T23:26:00Z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